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AE7" w:rsidRPr="008A5C70" w:rsidRDefault="003921BC">
      <w:pPr>
        <w:pStyle w:val="a8"/>
        <w:jc w:val="both"/>
        <w:rPr>
          <w:rFonts w:ascii="ＭＳ Ｐゴシック" w:eastAsia="ＭＳ Ｐゴシック" w:hAnsi="ＭＳ Ｐゴシック"/>
          <w:b/>
        </w:rPr>
      </w:pPr>
      <w:r w:rsidRPr="008A5C70">
        <w:rPr>
          <w:rFonts w:ascii="ＭＳ Ｐゴシック" w:eastAsia="ＭＳ Ｐゴシック" w:hAnsi="ＭＳ Ｐゴシック"/>
          <w:b/>
          <w:sz w:val="24"/>
          <w:lang w:val="de-DE" w:eastAsia="ja-JP"/>
        </w:rPr>
        <w:t>ドイツ語における他動性と使役・受動</w:t>
      </w:r>
    </w:p>
    <w:p w:rsidR="00FF7AE7" w:rsidRPr="008A5C70" w:rsidRDefault="003921BC">
      <w:pPr>
        <w:pStyle w:val="a8"/>
        <w:jc w:val="both"/>
        <w:rPr>
          <w:rFonts w:ascii="ＭＳ Ｐゴシック" w:eastAsia="ＭＳ Ｐゴシック" w:hAnsi="ＭＳ Ｐゴシック"/>
          <w:b/>
          <w:sz w:val="24"/>
          <w:lang w:val="de-DE" w:eastAsia="ja-JP"/>
        </w:rPr>
      </w:pPr>
      <w:r w:rsidRPr="008A5C70">
        <w:rPr>
          <w:rFonts w:ascii="ＭＳ Ｐゴシック" w:eastAsia="ＭＳ Ｐゴシック" w:hAnsi="ＭＳ Ｐゴシック"/>
          <w:b/>
          <w:sz w:val="24"/>
          <w:lang w:val="de-DE" w:eastAsia="ja-JP"/>
        </w:rPr>
        <w:t>藤縄 康弘</w:t>
      </w:r>
    </w:p>
    <w:p w:rsidR="00FF7AE7" w:rsidRPr="008A5C70" w:rsidRDefault="00FF7AE7">
      <w:pPr>
        <w:jc w:val="both"/>
        <w:rPr>
          <w:rFonts w:ascii="Times New Roman" w:eastAsia="ＭＳ Ｐ明朝" w:hAnsi="Times New Roman"/>
          <w:lang w:val="de-DE" w:eastAsia="ja-JP"/>
        </w:rPr>
      </w:pPr>
    </w:p>
    <w:p w:rsidR="00FF7AE7" w:rsidRPr="008A5C70" w:rsidRDefault="003921BC">
      <w:pPr>
        <w:jc w:val="both"/>
        <w:rPr>
          <w:rFonts w:ascii="Times New Roman" w:eastAsia="ＭＳ Ｐ明朝" w:hAnsi="Times New Roman"/>
          <w:lang w:val="de-DE" w:eastAsia="ja-JP"/>
        </w:rPr>
      </w:pPr>
      <w:r w:rsidRPr="008A5C70">
        <w:rPr>
          <w:rFonts w:ascii="Times New Roman" w:eastAsia="ＭＳ Ｐ明朝" w:hAnsi="Times New Roman"/>
          <w:lang w:val="de-DE" w:eastAsia="ja-JP"/>
        </w:rPr>
        <w:t>伝統的ドイツ語学の見方によれば、他動詞は、対格目的語を支配する動詞に限られる。たとえ主語のほかに目的語を求める動詞であっても、その目的語を対格以外の格（与格、属格）や前置詞句のかたちで支配する</w:t>
      </w:r>
      <w:r w:rsidR="008A5C70">
        <w:rPr>
          <w:rFonts w:ascii="Times New Roman" w:eastAsia="ＭＳ Ｐ明朝" w:hAnsi="Times New Roman" w:hint="eastAsia"/>
          <w:lang w:val="de-DE" w:eastAsia="ja-JP"/>
        </w:rPr>
        <w:t>動詞</w:t>
      </w:r>
      <w:r w:rsidRPr="008A5C70">
        <w:rPr>
          <w:rFonts w:ascii="Times New Roman" w:eastAsia="ＭＳ Ｐ明朝" w:hAnsi="Times New Roman"/>
          <w:lang w:val="de-DE" w:eastAsia="ja-JP"/>
        </w:rPr>
        <w:t>は、他動詞とは見なされず、目的語をまったく要求しない動詞ともども自動詞に分類される。このような分類を行うひとつの利点は、人称受動文が他動詞からのみ形成されるのに対し、自動詞からは非人称受動文しか形成され得ない、という一般化を可能にすることである。</w:t>
      </w:r>
    </w:p>
    <w:p w:rsidR="00FF7AE7" w:rsidRPr="008A5C70" w:rsidRDefault="008A5C70">
      <w:pPr>
        <w:jc w:val="both"/>
        <w:rPr>
          <w:rFonts w:ascii="Times New Roman" w:eastAsia="ＭＳ Ｐ明朝" w:hAnsi="Times New Roman"/>
          <w:lang w:val="de-DE" w:eastAsia="ja-JP"/>
        </w:rPr>
      </w:pPr>
      <w:r>
        <w:rPr>
          <w:rFonts w:ascii="Times New Roman" w:eastAsia="ＭＳ Ｐ明朝" w:hAnsi="Times New Roman"/>
          <w:lang w:val="de-DE" w:eastAsia="ja-JP"/>
        </w:rPr>
        <w:t>しかし、目的語をどのような格的範疇で支配するかは</w:t>
      </w:r>
      <w:r>
        <w:rPr>
          <w:rFonts w:ascii="Times New Roman" w:eastAsia="ＭＳ Ｐ明朝" w:hAnsi="Times New Roman" w:hint="eastAsia"/>
          <w:lang w:val="de-DE" w:eastAsia="ja-JP"/>
        </w:rPr>
        <w:t>、</w:t>
      </w:r>
      <w:r w:rsidR="003921BC" w:rsidRPr="008A5C70">
        <w:rPr>
          <w:rFonts w:ascii="Times New Roman" w:eastAsia="ＭＳ Ｐ明朝" w:hAnsi="Times New Roman"/>
          <w:lang w:val="de-DE" w:eastAsia="ja-JP"/>
        </w:rPr>
        <w:t>動詞の語彙論的な性質である。そうである以上、使役や受動といった態の操作において、いくら対格の振舞いが顕著だとし</w:t>
      </w:r>
      <w:r>
        <w:rPr>
          <w:rFonts w:ascii="Times New Roman" w:eastAsia="ＭＳ Ｐ明朝" w:hAnsi="Times New Roman"/>
          <w:lang w:val="de-DE" w:eastAsia="ja-JP"/>
        </w:rPr>
        <w:t>ても、その点に即、統語論的な他動性を認めるわけには行かない</w:t>
      </w:r>
      <w:r w:rsidR="003921BC" w:rsidRPr="008A5C70">
        <w:rPr>
          <w:rFonts w:ascii="Times New Roman" w:eastAsia="ＭＳ Ｐ明朝" w:hAnsi="Times New Roman"/>
          <w:lang w:val="de-DE" w:eastAsia="ja-JP"/>
        </w:rPr>
        <w:t>。統語論的な問題としての他動性は、まさに対格支配を超えたところに見出されなければならない。本発表では、こうした問題意識に立ち、ドイツ語の態を概観する。取り上げる話題は以下の</w:t>
      </w:r>
      <w:r w:rsidR="003921BC" w:rsidRPr="008A5C70">
        <w:rPr>
          <w:rFonts w:ascii="Times New Roman" w:eastAsia="ＭＳ Ｐ明朝" w:hAnsi="Times New Roman"/>
          <w:lang w:val="de-DE" w:eastAsia="ja-JP"/>
        </w:rPr>
        <w:t>3</w:t>
      </w:r>
      <w:r w:rsidR="003921BC" w:rsidRPr="008A5C70">
        <w:rPr>
          <w:rFonts w:ascii="Times New Roman" w:eastAsia="ＭＳ Ｐ明朝" w:hAnsi="Times New Roman"/>
          <w:lang w:val="de-DE" w:eastAsia="ja-JP"/>
        </w:rPr>
        <w:t>つである。</w:t>
      </w:r>
    </w:p>
    <w:p w:rsidR="00FF7AE7" w:rsidRPr="008A5C70" w:rsidRDefault="00FF7AE7">
      <w:pPr>
        <w:jc w:val="both"/>
        <w:rPr>
          <w:rFonts w:ascii="Times New Roman" w:eastAsia="ＭＳ Ｐ明朝" w:hAnsi="Times New Roman"/>
          <w:lang w:val="de-DE" w:eastAsia="ja-JP"/>
        </w:rPr>
      </w:pPr>
    </w:p>
    <w:p w:rsidR="00FF7AE7" w:rsidRPr="008A5C70" w:rsidRDefault="003921BC">
      <w:pPr>
        <w:jc w:val="both"/>
        <w:rPr>
          <w:rFonts w:ascii="Times New Roman" w:eastAsia="ＭＳ Ｐ明朝" w:hAnsi="Times New Roman"/>
          <w:lang w:val="de-DE" w:eastAsia="ja-JP"/>
        </w:rPr>
      </w:pPr>
      <w:r w:rsidRPr="008A5C70">
        <w:rPr>
          <w:rFonts w:ascii="ＭＳ Ｐゴシック" w:eastAsia="ＭＳ Ｐゴシック" w:hAnsi="ＭＳ Ｐゴシック"/>
          <w:b/>
          <w:lang w:val="de-DE" w:eastAsia="ja-JP"/>
        </w:rPr>
        <w:t xml:space="preserve">1. </w:t>
      </w:r>
      <w:r w:rsidRPr="008A5C70">
        <w:rPr>
          <w:rFonts w:ascii="ＭＳ Ｐゴシック" w:eastAsia="ＭＳ Ｐゴシック" w:hAnsi="ＭＳ Ｐゴシック" w:cs="ＭＳ 明朝"/>
          <w:b/>
          <w:lang w:val="de-DE" w:eastAsia="ja-JP"/>
        </w:rPr>
        <w:t>反使役</w:t>
      </w:r>
      <w:r w:rsidR="008A5C70">
        <w:rPr>
          <w:rFonts w:ascii="Times New Roman" w:eastAsia="ＭＳ Ｐ明朝" w:hAnsi="Times New Roman" w:hint="eastAsia"/>
          <w:lang w:val="de-DE" w:eastAsia="ja-JP"/>
        </w:rPr>
        <w:t xml:space="preserve">　</w:t>
      </w:r>
      <w:r w:rsidRPr="008A5C70">
        <w:rPr>
          <w:rFonts w:ascii="Times New Roman" w:eastAsia="ＭＳ Ｐ明朝" w:hAnsi="Times New Roman"/>
          <w:lang w:val="de-DE" w:eastAsia="ja-JP"/>
        </w:rPr>
        <w:t>ドイツ語には反使役の表現形式が</w:t>
      </w:r>
      <w:r w:rsidRPr="008A5C70">
        <w:rPr>
          <w:rFonts w:ascii="Times New Roman" w:eastAsia="ＭＳ Ｐ明朝" w:hAnsi="Times New Roman"/>
          <w:lang w:val="de-DE" w:eastAsia="ja-JP"/>
        </w:rPr>
        <w:t>2</w:t>
      </w:r>
      <w:r w:rsidRPr="008A5C70">
        <w:rPr>
          <w:rFonts w:ascii="Times New Roman" w:eastAsia="ＭＳ Ｐ明朝" w:hAnsi="Times New Roman"/>
          <w:lang w:val="de-DE" w:eastAsia="ja-JP"/>
        </w:rPr>
        <w:t>種類ある。再帰代名詞を伴った構文とこれを伴わない、単純な自動詞の構文である。どちらの構文を用いるかは、語彙的に決まっているが、いずれを用いるにせよ、</w:t>
      </w:r>
      <w:r w:rsidR="003311C4">
        <w:rPr>
          <w:rFonts w:ascii="Times New Roman" w:eastAsia="ＭＳ Ｐ明朝" w:hAnsi="Times New Roman" w:hint="eastAsia"/>
          <w:lang w:val="de-DE" w:eastAsia="ja-JP"/>
        </w:rPr>
        <w:t>「</w:t>
      </w:r>
      <w:r w:rsidRPr="008A5C70">
        <w:rPr>
          <w:rFonts w:ascii="Times New Roman" w:eastAsia="ＭＳ Ｐ明朝" w:hAnsi="Times New Roman"/>
          <w:lang w:val="de-DE" w:eastAsia="ja-JP"/>
        </w:rPr>
        <w:t>動作主の介入なしで状態変化が起こる</w:t>
      </w:r>
      <w:r w:rsidR="003311C4">
        <w:rPr>
          <w:rFonts w:ascii="Times New Roman" w:eastAsia="ＭＳ Ｐ明朝" w:hAnsi="Times New Roman" w:hint="eastAsia"/>
          <w:lang w:val="de-DE" w:eastAsia="ja-JP"/>
        </w:rPr>
        <w:t>」</w:t>
      </w:r>
      <w:r w:rsidRPr="008A5C70">
        <w:rPr>
          <w:rFonts w:ascii="Times New Roman" w:eastAsia="ＭＳ Ｐ明朝" w:hAnsi="Times New Roman"/>
          <w:lang w:val="de-DE" w:eastAsia="ja-JP"/>
        </w:rPr>
        <w:t>という骨格的意味</w:t>
      </w:r>
      <w:r w:rsidR="00AE2DFC">
        <w:rPr>
          <w:rFonts w:ascii="Times New Roman" w:eastAsia="ＭＳ Ｐ明朝" w:hAnsi="Times New Roman" w:hint="eastAsia"/>
          <w:lang w:val="de-DE" w:eastAsia="ja-JP"/>
        </w:rPr>
        <w:t>は</w:t>
      </w:r>
      <w:r w:rsidR="00C84533">
        <w:rPr>
          <w:rFonts w:ascii="Times New Roman" w:eastAsia="ＭＳ Ｐ明朝" w:hAnsi="Times New Roman" w:hint="eastAsia"/>
          <w:lang w:val="de-DE" w:eastAsia="ja-JP"/>
        </w:rPr>
        <w:t>共通</w:t>
      </w:r>
      <w:r w:rsidR="00AE2DFC">
        <w:rPr>
          <w:rFonts w:ascii="Times New Roman" w:eastAsia="ＭＳ Ｐ明朝" w:hAnsi="Times New Roman" w:hint="eastAsia"/>
          <w:lang w:val="de-DE" w:eastAsia="ja-JP"/>
        </w:rPr>
        <w:t>である</w:t>
      </w:r>
      <w:r w:rsidRPr="008A5C70">
        <w:rPr>
          <w:rFonts w:ascii="Times New Roman" w:eastAsia="ＭＳ Ｐ明朝" w:hAnsi="Times New Roman"/>
          <w:lang w:val="de-DE" w:eastAsia="ja-JP"/>
        </w:rPr>
        <w:t>。しかし両者には、自由な与格の解釈をめぐって大きな相違が</w:t>
      </w:r>
      <w:r w:rsidR="003311C4">
        <w:rPr>
          <w:rFonts w:ascii="Times New Roman" w:eastAsia="ＭＳ Ｐ明朝" w:hAnsi="Times New Roman" w:hint="eastAsia"/>
          <w:lang w:val="de-DE" w:eastAsia="ja-JP"/>
        </w:rPr>
        <w:t>あ</w:t>
      </w:r>
      <w:r w:rsidRPr="008A5C70">
        <w:rPr>
          <w:rFonts w:ascii="Times New Roman" w:eastAsia="ＭＳ Ｐ明朝" w:hAnsi="Times New Roman"/>
          <w:lang w:val="de-DE" w:eastAsia="ja-JP"/>
        </w:rPr>
        <w:t>る。再帰構文による表現では</w:t>
      </w:r>
      <w:r w:rsidR="003311C4">
        <w:rPr>
          <w:rFonts w:ascii="Times New Roman" w:eastAsia="ＭＳ Ｐ明朝" w:hAnsi="Times New Roman" w:hint="eastAsia"/>
          <w:lang w:val="de-DE" w:eastAsia="ja-JP"/>
        </w:rPr>
        <w:t>、</w:t>
      </w:r>
      <w:r w:rsidRPr="008A5C70">
        <w:rPr>
          <w:rFonts w:ascii="Times New Roman" w:eastAsia="ＭＳ Ｐ明朝" w:hAnsi="Times New Roman"/>
          <w:lang w:val="de-DE" w:eastAsia="ja-JP"/>
        </w:rPr>
        <w:t>与格は</w:t>
      </w:r>
      <w:r w:rsidR="003311C4">
        <w:rPr>
          <w:rFonts w:ascii="Times New Roman" w:eastAsia="ＭＳ Ｐ明朝" w:hAnsi="Times New Roman" w:hint="eastAsia"/>
          <w:lang w:val="de-DE" w:eastAsia="ja-JP"/>
        </w:rPr>
        <w:t>単に</w:t>
      </w:r>
      <w:r w:rsidRPr="008A5C70">
        <w:rPr>
          <w:rFonts w:ascii="Times New Roman" w:eastAsia="ＭＳ Ｐ明朝" w:hAnsi="Times New Roman"/>
          <w:lang w:val="de-DE" w:eastAsia="ja-JP"/>
        </w:rPr>
        <w:t>影響を被る人物としか解釈</w:t>
      </w:r>
      <w:r w:rsidR="003311C4">
        <w:rPr>
          <w:rFonts w:ascii="Times New Roman" w:eastAsia="ＭＳ Ｐ明朝" w:hAnsi="Times New Roman" w:hint="eastAsia"/>
          <w:lang w:val="de-DE" w:eastAsia="ja-JP"/>
        </w:rPr>
        <w:t>され</w:t>
      </w:r>
      <w:r w:rsidRPr="008A5C70">
        <w:rPr>
          <w:rFonts w:ascii="Times New Roman" w:eastAsia="ＭＳ Ｐ明朝" w:hAnsi="Times New Roman"/>
          <w:lang w:val="de-DE" w:eastAsia="ja-JP"/>
        </w:rPr>
        <w:t>ないのに対し、自動詞構文には「うっかり</w:t>
      </w:r>
      <w:r w:rsidR="003311C4">
        <w:rPr>
          <w:rFonts w:ascii="Times New Roman" w:eastAsia="ＭＳ Ｐ明朝" w:hAnsi="Times New Roman" w:hint="eastAsia"/>
          <w:lang w:val="de-DE" w:eastAsia="ja-JP"/>
        </w:rPr>
        <w:t>～</w:t>
      </w:r>
      <w:r w:rsidRPr="008A5C70">
        <w:rPr>
          <w:rFonts w:ascii="Times New Roman" w:eastAsia="ＭＳ Ｐ明朝" w:hAnsi="Times New Roman"/>
          <w:lang w:val="de-DE" w:eastAsia="ja-JP"/>
        </w:rPr>
        <w:t>してしまう」という非意図的使役の解釈も</w:t>
      </w:r>
      <w:r w:rsidR="00AE2DFC">
        <w:rPr>
          <w:rFonts w:ascii="Times New Roman" w:eastAsia="ＭＳ Ｐ明朝" w:hAnsi="Times New Roman" w:hint="eastAsia"/>
          <w:lang w:val="de-DE" w:eastAsia="ja-JP"/>
        </w:rPr>
        <w:t>可能である</w:t>
      </w:r>
      <w:r w:rsidR="00AE2DFC">
        <w:rPr>
          <w:rFonts w:ascii="Times New Roman" w:eastAsia="ＭＳ Ｐ明朝" w:hAnsi="Times New Roman"/>
          <w:lang w:val="de-DE" w:eastAsia="ja-JP"/>
        </w:rPr>
        <w:t>。</w:t>
      </w:r>
      <w:r w:rsidR="00AE2DFC">
        <w:rPr>
          <w:rFonts w:ascii="Times New Roman" w:eastAsia="ＭＳ Ｐ明朝" w:hAnsi="Times New Roman" w:hint="eastAsia"/>
          <w:lang w:val="de-DE" w:eastAsia="ja-JP"/>
        </w:rPr>
        <w:t>この</w:t>
      </w:r>
      <w:r w:rsidRPr="008A5C70">
        <w:rPr>
          <w:rFonts w:ascii="Times New Roman" w:eastAsia="ＭＳ Ｐ明朝" w:hAnsi="Times New Roman"/>
          <w:lang w:val="de-DE" w:eastAsia="ja-JP"/>
        </w:rPr>
        <w:t>後者の</w:t>
      </w:r>
      <w:r w:rsidR="00AE2DFC">
        <w:rPr>
          <w:rFonts w:ascii="Times New Roman" w:eastAsia="ＭＳ Ｐ明朝" w:hAnsi="Times New Roman" w:hint="eastAsia"/>
          <w:lang w:val="de-DE" w:eastAsia="ja-JP"/>
        </w:rPr>
        <w:t>、他動性の高い</w:t>
      </w:r>
      <w:r w:rsidRPr="008A5C70">
        <w:rPr>
          <w:rFonts w:ascii="Times New Roman" w:eastAsia="ＭＳ Ｐ明朝" w:hAnsi="Times New Roman"/>
          <w:lang w:val="de-DE" w:eastAsia="ja-JP"/>
        </w:rPr>
        <w:t>解釈は、動詞の語彙意味論と密接に関連しつつ、これを超えた次元で動機づけられる。</w:t>
      </w:r>
    </w:p>
    <w:p w:rsidR="00FF7AE7" w:rsidRPr="008A5C70" w:rsidRDefault="00FF7AE7">
      <w:pPr>
        <w:jc w:val="both"/>
        <w:rPr>
          <w:rFonts w:ascii="Times New Roman" w:eastAsia="ＭＳ Ｐ明朝" w:hAnsi="Times New Roman"/>
          <w:lang w:val="de-DE" w:eastAsia="ja-JP"/>
        </w:rPr>
      </w:pPr>
    </w:p>
    <w:p w:rsidR="00FF7AE7" w:rsidRPr="008A5C70" w:rsidRDefault="003921BC">
      <w:pPr>
        <w:jc w:val="both"/>
        <w:rPr>
          <w:rFonts w:ascii="Times New Roman" w:eastAsia="ＭＳ Ｐ明朝" w:hAnsi="Times New Roman"/>
          <w:lang w:val="de-DE" w:eastAsia="ja-JP"/>
        </w:rPr>
      </w:pPr>
      <w:r w:rsidRPr="008A5C70">
        <w:rPr>
          <w:rFonts w:ascii="ＭＳ Ｐゴシック" w:eastAsia="ＭＳ Ｐゴシック" w:hAnsi="ＭＳ Ｐゴシック"/>
          <w:b/>
          <w:lang w:val="de-DE" w:eastAsia="ja-JP"/>
        </w:rPr>
        <w:t>2. werden</w:t>
      </w:r>
      <w:r w:rsidRPr="008A5C70">
        <w:rPr>
          <w:rFonts w:ascii="ＭＳ Ｐゴシック" w:eastAsia="ＭＳ Ｐゴシック" w:hAnsi="ＭＳ Ｐゴシック" w:cs="ＭＳ 明朝"/>
          <w:b/>
          <w:lang w:val="de-DE" w:eastAsia="ja-JP"/>
        </w:rPr>
        <w:t>受動と</w:t>
      </w:r>
      <w:r w:rsidRPr="008A5C70">
        <w:rPr>
          <w:rFonts w:ascii="ＭＳ Ｐゴシック" w:eastAsia="ＭＳ Ｐゴシック" w:hAnsi="ＭＳ Ｐゴシック"/>
          <w:b/>
          <w:lang w:val="de-DE" w:eastAsia="ja-JP"/>
        </w:rPr>
        <w:t>lassen</w:t>
      </w:r>
      <w:r w:rsidRPr="008A5C70">
        <w:rPr>
          <w:rFonts w:ascii="ＭＳ Ｐゴシック" w:eastAsia="ＭＳ Ｐゴシック" w:hAnsi="ＭＳ Ｐゴシック" w:cs="ＭＳ 明朝"/>
          <w:b/>
          <w:lang w:val="de-DE" w:eastAsia="ja-JP"/>
        </w:rPr>
        <w:t>使役</w:t>
      </w:r>
      <w:r w:rsidR="008A5C70">
        <w:rPr>
          <w:rFonts w:ascii="Times New Roman" w:eastAsia="ＭＳ Ｐ明朝" w:hAnsi="Times New Roman" w:hint="eastAsia"/>
          <w:lang w:val="de-DE" w:eastAsia="ja-JP"/>
        </w:rPr>
        <w:t xml:space="preserve">　</w:t>
      </w:r>
      <w:r w:rsidRPr="008A5C70">
        <w:rPr>
          <w:rFonts w:ascii="Times New Roman" w:eastAsia="ＭＳ Ｐ明朝" w:hAnsi="Times New Roman"/>
          <w:lang w:val="de-DE" w:eastAsia="ja-JP"/>
        </w:rPr>
        <w:t>上述のとおり、</w:t>
      </w:r>
      <w:r w:rsidRPr="008A5C70">
        <w:rPr>
          <w:rFonts w:ascii="Times New Roman" w:eastAsia="ＭＳ Ｐ明朝" w:hAnsi="Times New Roman"/>
          <w:lang w:val="de-DE" w:eastAsia="ja-JP"/>
        </w:rPr>
        <w:t>werden</w:t>
      </w:r>
      <w:r w:rsidRPr="008A5C70">
        <w:rPr>
          <w:rFonts w:ascii="Times New Roman" w:eastAsia="ＭＳ Ｐ明朝" w:hAnsi="Times New Roman"/>
          <w:lang w:val="de-DE" w:eastAsia="ja-JP"/>
        </w:rPr>
        <w:t>受動は、自動詞</w:t>
      </w:r>
      <w:r w:rsidR="008A5C70">
        <w:rPr>
          <w:rFonts w:ascii="Times New Roman" w:eastAsia="ＭＳ Ｐ明朝" w:hAnsi="Times New Roman" w:hint="eastAsia"/>
          <w:lang w:val="de-DE" w:eastAsia="ja-JP"/>
        </w:rPr>
        <w:t>に適用されると</w:t>
      </w:r>
      <w:r w:rsidRPr="008A5C70">
        <w:rPr>
          <w:rFonts w:ascii="Times New Roman" w:eastAsia="ＭＳ Ｐ明朝" w:hAnsi="Times New Roman"/>
          <w:lang w:val="de-DE" w:eastAsia="ja-JP"/>
        </w:rPr>
        <w:t>非人称受動を形成するが、非人称受動そのものは、対格を支配しないという</w:t>
      </w:r>
      <w:r w:rsidR="008A5C70">
        <w:rPr>
          <w:rFonts w:ascii="Times New Roman" w:eastAsia="ＭＳ Ｐ明朝" w:hAnsi="Times New Roman"/>
          <w:lang w:val="de-DE" w:eastAsia="ja-JP"/>
        </w:rPr>
        <w:t>意味での自動詞だけでなく、対格を支配する他動詞からも条件次第で</w:t>
      </w:r>
      <w:r w:rsidRPr="008A5C70">
        <w:rPr>
          <w:rFonts w:ascii="Times New Roman" w:eastAsia="ＭＳ Ｐ明朝" w:hAnsi="Times New Roman"/>
          <w:lang w:val="de-DE" w:eastAsia="ja-JP"/>
        </w:rPr>
        <w:t>形成可能である。他方、</w:t>
      </w:r>
      <w:r w:rsidRPr="008A5C70">
        <w:rPr>
          <w:rFonts w:ascii="Times New Roman" w:eastAsia="ＭＳ Ｐ明朝" w:hAnsi="Times New Roman"/>
          <w:lang w:val="de-DE" w:eastAsia="ja-JP"/>
        </w:rPr>
        <w:t>lassen</w:t>
      </w:r>
      <w:r w:rsidRPr="008A5C70">
        <w:rPr>
          <w:rFonts w:ascii="Times New Roman" w:eastAsia="ＭＳ Ｐ明朝" w:hAnsi="Times New Roman"/>
          <w:lang w:val="de-DE" w:eastAsia="ja-JP"/>
        </w:rPr>
        <w:t>使役では、もとの動作主を対格で表示する可能性に加え、受動文での動作主表示である</w:t>
      </w:r>
      <w:r w:rsidRPr="008A5C70">
        <w:rPr>
          <w:rFonts w:ascii="Times New Roman" w:eastAsia="ＭＳ Ｐ明朝" w:hAnsi="Times New Roman"/>
          <w:lang w:val="de-DE" w:eastAsia="ja-JP"/>
        </w:rPr>
        <w:t>von</w:t>
      </w:r>
      <w:r w:rsidRPr="008A5C70">
        <w:rPr>
          <w:rFonts w:ascii="Times New Roman" w:eastAsia="ＭＳ Ｐ明朝" w:hAnsi="Times New Roman"/>
          <w:lang w:val="de-DE" w:eastAsia="ja-JP"/>
        </w:rPr>
        <w:t>や</w:t>
      </w:r>
      <w:r w:rsidRPr="008A5C70">
        <w:rPr>
          <w:rFonts w:ascii="Times New Roman" w:eastAsia="ＭＳ Ｐ明朝" w:hAnsi="Times New Roman"/>
          <w:lang w:val="de-DE" w:eastAsia="ja-JP"/>
        </w:rPr>
        <w:t>durch</w:t>
      </w:r>
      <w:r w:rsidR="008A5C70">
        <w:rPr>
          <w:rFonts w:ascii="Times New Roman" w:eastAsia="ＭＳ Ｐ明朝" w:hAnsi="Times New Roman"/>
          <w:lang w:val="de-DE" w:eastAsia="ja-JP"/>
        </w:rPr>
        <w:t>による前置詞句も</w:t>
      </w:r>
      <w:r w:rsidR="00F233FF">
        <w:rPr>
          <w:rFonts w:ascii="Times New Roman" w:eastAsia="ＭＳ Ｐ明朝" w:hAnsi="Times New Roman" w:hint="eastAsia"/>
          <w:lang w:val="de-DE" w:eastAsia="ja-JP"/>
        </w:rPr>
        <w:t>あり得る</w:t>
      </w:r>
      <w:r w:rsidR="008A5C70">
        <w:rPr>
          <w:rFonts w:ascii="Times New Roman" w:eastAsia="ＭＳ Ｐ明朝" w:hAnsi="Times New Roman"/>
          <w:lang w:val="de-DE" w:eastAsia="ja-JP"/>
        </w:rPr>
        <w:t>。その際、この表示</w:t>
      </w:r>
      <w:r w:rsidRPr="008A5C70">
        <w:rPr>
          <w:rFonts w:ascii="Times New Roman" w:eastAsia="ＭＳ Ｐ明朝" w:hAnsi="Times New Roman"/>
          <w:lang w:val="de-DE" w:eastAsia="ja-JP"/>
        </w:rPr>
        <w:t>は、主に対格を支配する他動詞</w:t>
      </w:r>
      <w:r w:rsidR="00AE2DFC">
        <w:rPr>
          <w:rFonts w:ascii="Times New Roman" w:eastAsia="ＭＳ Ｐ明朝" w:hAnsi="Times New Roman" w:hint="eastAsia"/>
          <w:lang w:val="de-DE" w:eastAsia="ja-JP"/>
        </w:rPr>
        <w:t>に見られる</w:t>
      </w:r>
      <w:r w:rsidR="003311C4">
        <w:rPr>
          <w:rFonts w:ascii="Times New Roman" w:eastAsia="ＭＳ Ｐ明朝" w:hAnsi="Times New Roman" w:hint="eastAsia"/>
          <w:lang w:val="de-DE" w:eastAsia="ja-JP"/>
        </w:rPr>
        <w:t>ほか</w:t>
      </w:r>
      <w:r w:rsidRPr="008A5C70">
        <w:rPr>
          <w:rFonts w:ascii="Times New Roman" w:eastAsia="ＭＳ Ｐ明朝" w:hAnsi="Times New Roman"/>
          <w:lang w:val="de-DE" w:eastAsia="ja-JP"/>
        </w:rPr>
        <w:t>、対格を支配しないという意味での自動詞の一部</w:t>
      </w:r>
      <w:r w:rsidR="00AE2DFC">
        <w:rPr>
          <w:rFonts w:ascii="Times New Roman" w:eastAsia="ＭＳ Ｐ明朝" w:hAnsi="Times New Roman" w:hint="eastAsia"/>
          <w:lang w:val="de-DE" w:eastAsia="ja-JP"/>
        </w:rPr>
        <w:t>で</w:t>
      </w:r>
      <w:r w:rsidR="008A5C70">
        <w:rPr>
          <w:rFonts w:ascii="Times New Roman" w:eastAsia="ＭＳ Ｐ明朝" w:hAnsi="Times New Roman" w:hint="eastAsia"/>
          <w:lang w:val="de-DE" w:eastAsia="ja-JP"/>
        </w:rPr>
        <w:t>も</w:t>
      </w:r>
      <w:r w:rsidRPr="008A5C70">
        <w:rPr>
          <w:rFonts w:ascii="Times New Roman" w:eastAsia="ＭＳ Ｐ明朝" w:hAnsi="Times New Roman"/>
          <w:lang w:val="de-DE" w:eastAsia="ja-JP"/>
        </w:rPr>
        <w:t>認められる。</w:t>
      </w:r>
      <w:r w:rsidR="00AE2DFC">
        <w:rPr>
          <w:rFonts w:ascii="Times New Roman" w:eastAsia="ＭＳ Ｐ明朝" w:hAnsi="Times New Roman" w:hint="eastAsia"/>
          <w:lang w:val="de-DE" w:eastAsia="ja-JP"/>
        </w:rPr>
        <w:t>また</w:t>
      </w:r>
      <w:r w:rsidRPr="008A5C70">
        <w:rPr>
          <w:rFonts w:ascii="Times New Roman" w:eastAsia="ＭＳ Ｐ明朝" w:hAnsi="Times New Roman"/>
          <w:lang w:val="de-DE" w:eastAsia="ja-JP"/>
        </w:rPr>
        <w:t>、対格目的語</w:t>
      </w:r>
      <w:r w:rsidR="008A5C70">
        <w:rPr>
          <w:rFonts w:ascii="Times New Roman" w:eastAsia="ＭＳ Ｐ明朝" w:hAnsi="Times New Roman" w:hint="eastAsia"/>
          <w:lang w:val="de-DE" w:eastAsia="ja-JP"/>
        </w:rPr>
        <w:t>と</w:t>
      </w:r>
      <w:r w:rsidRPr="008A5C70">
        <w:rPr>
          <w:rFonts w:ascii="Times New Roman" w:eastAsia="ＭＳ Ｐ明朝" w:hAnsi="Times New Roman"/>
          <w:lang w:val="de-DE" w:eastAsia="ja-JP"/>
        </w:rPr>
        <w:t>与格目的語を伴う二重他動詞では、</w:t>
      </w:r>
      <w:r w:rsidRPr="008A5C70">
        <w:rPr>
          <w:rFonts w:ascii="Times New Roman" w:eastAsia="ＭＳ Ｐ明朝" w:hAnsi="Times New Roman"/>
          <w:lang w:val="de-DE" w:eastAsia="ja-JP"/>
        </w:rPr>
        <w:t>von</w:t>
      </w:r>
      <w:r w:rsidRPr="008A5C70">
        <w:rPr>
          <w:rFonts w:ascii="Times New Roman" w:eastAsia="ＭＳ Ｐ明朝" w:hAnsi="Times New Roman"/>
          <w:lang w:val="de-DE" w:eastAsia="ja-JP"/>
        </w:rPr>
        <w:t>や</w:t>
      </w:r>
      <w:r w:rsidRPr="008A5C70">
        <w:rPr>
          <w:rFonts w:ascii="Times New Roman" w:eastAsia="ＭＳ Ｐ明朝" w:hAnsi="Times New Roman"/>
          <w:lang w:val="de-DE" w:eastAsia="ja-JP"/>
        </w:rPr>
        <w:t>durch</w:t>
      </w:r>
      <w:r w:rsidRPr="008A5C70">
        <w:rPr>
          <w:rFonts w:ascii="Times New Roman" w:eastAsia="ＭＳ Ｐ明朝" w:hAnsi="Times New Roman"/>
          <w:lang w:val="de-DE" w:eastAsia="ja-JP"/>
        </w:rPr>
        <w:t>による動作主表示のみが可能である。つまり、</w:t>
      </w:r>
      <w:r w:rsidRPr="008A5C70">
        <w:rPr>
          <w:rFonts w:ascii="Times New Roman" w:eastAsia="ＭＳ Ｐ明朝" w:hAnsi="Times New Roman"/>
          <w:lang w:val="de-DE" w:eastAsia="ja-JP"/>
        </w:rPr>
        <w:t>werden</w:t>
      </w:r>
      <w:r w:rsidRPr="008A5C70">
        <w:rPr>
          <w:rFonts w:ascii="Times New Roman" w:eastAsia="ＭＳ Ｐ明朝" w:hAnsi="Times New Roman"/>
          <w:lang w:val="de-DE" w:eastAsia="ja-JP"/>
        </w:rPr>
        <w:t>受動における対格支配の無効化と</w:t>
      </w:r>
      <w:r w:rsidRPr="008A5C70">
        <w:rPr>
          <w:rFonts w:ascii="Times New Roman" w:eastAsia="ＭＳ Ｐ明朝" w:hAnsi="Times New Roman"/>
          <w:lang w:val="de-DE" w:eastAsia="ja-JP"/>
        </w:rPr>
        <w:t>lassen</w:t>
      </w:r>
      <w:r w:rsidR="008A5C70">
        <w:rPr>
          <w:rFonts w:ascii="Times New Roman" w:eastAsia="ＭＳ Ｐ明朝" w:hAnsi="Times New Roman"/>
          <w:lang w:val="de-DE" w:eastAsia="ja-JP"/>
        </w:rPr>
        <w:t>使役における対格支配の追加は表裏一体の関係に</w:t>
      </w:r>
      <w:r w:rsidRPr="008A5C70">
        <w:rPr>
          <w:rFonts w:ascii="Times New Roman" w:eastAsia="ＭＳ Ｐ明朝" w:hAnsi="Times New Roman"/>
          <w:lang w:val="de-DE" w:eastAsia="ja-JP"/>
        </w:rPr>
        <w:t>あり、いずれも、語彙的な対格支配の有無を基準</w:t>
      </w:r>
      <w:r w:rsidR="008A5C70">
        <w:rPr>
          <w:rFonts w:ascii="Times New Roman" w:eastAsia="ＭＳ Ｐ明朝" w:hAnsi="Times New Roman" w:hint="eastAsia"/>
          <w:lang w:val="de-DE" w:eastAsia="ja-JP"/>
        </w:rPr>
        <w:t>とする</w:t>
      </w:r>
      <w:r w:rsidRPr="008A5C70">
        <w:rPr>
          <w:rFonts w:ascii="Times New Roman" w:eastAsia="ＭＳ Ｐ明朝" w:hAnsi="Times New Roman"/>
          <w:lang w:val="de-DE" w:eastAsia="ja-JP"/>
        </w:rPr>
        <w:t>他動性・非他動性には還元されない性質である。</w:t>
      </w:r>
    </w:p>
    <w:p w:rsidR="00FF7AE7" w:rsidRPr="008A5C70" w:rsidRDefault="00FF7AE7">
      <w:pPr>
        <w:jc w:val="both"/>
        <w:rPr>
          <w:rFonts w:ascii="Times New Roman" w:eastAsia="ＭＳ Ｐ明朝" w:hAnsi="Times New Roman"/>
          <w:lang w:val="de-DE" w:eastAsia="ja-JP"/>
        </w:rPr>
      </w:pPr>
    </w:p>
    <w:p w:rsidR="00FF7AE7" w:rsidRPr="008A5C70" w:rsidRDefault="003921BC">
      <w:pPr>
        <w:jc w:val="both"/>
        <w:rPr>
          <w:rFonts w:ascii="Times New Roman" w:eastAsia="ＭＳ Ｐ明朝" w:hAnsi="Times New Roman"/>
          <w:lang w:val="de-DE" w:eastAsia="ja-JP"/>
        </w:rPr>
      </w:pPr>
      <w:r w:rsidRPr="008A5C70">
        <w:rPr>
          <w:rFonts w:ascii="ＭＳ Ｐゴシック" w:eastAsia="ＭＳ Ｐゴシック" w:hAnsi="ＭＳ Ｐゴシック"/>
          <w:b/>
          <w:lang w:val="de-DE" w:eastAsia="ja-JP"/>
        </w:rPr>
        <w:t>3. bekommen + 過去分詞の多義性</w:t>
      </w:r>
      <w:r w:rsidR="008A5C70">
        <w:rPr>
          <w:rFonts w:ascii="Times New Roman" w:eastAsia="ＭＳ Ｐ明朝" w:hAnsi="Times New Roman" w:hint="eastAsia"/>
          <w:lang w:val="de-DE" w:eastAsia="ja-JP"/>
        </w:rPr>
        <w:t xml:space="preserve">　</w:t>
      </w:r>
      <w:r w:rsidR="00AE2DFC" w:rsidRPr="008A5C70">
        <w:rPr>
          <w:rFonts w:ascii="Times New Roman" w:eastAsia="ＭＳ Ｐ明朝" w:hAnsi="Times New Roman"/>
          <w:lang w:val="de-DE" w:eastAsia="ja-JP"/>
        </w:rPr>
        <w:t>werden</w:t>
      </w:r>
      <w:r w:rsidR="00AE2DFC" w:rsidRPr="008A5C70">
        <w:rPr>
          <w:rFonts w:ascii="Times New Roman" w:eastAsia="ＭＳ Ｐ明朝" w:hAnsi="Times New Roman"/>
          <w:lang w:val="de-DE" w:eastAsia="ja-JP"/>
        </w:rPr>
        <w:t>受動</w:t>
      </w:r>
      <w:r w:rsidR="00AE2DFC">
        <w:rPr>
          <w:rFonts w:ascii="Times New Roman" w:eastAsia="ＭＳ Ｐ明朝" w:hAnsi="Times New Roman" w:hint="eastAsia"/>
          <w:lang w:val="de-DE" w:eastAsia="ja-JP"/>
        </w:rPr>
        <w:t>が</w:t>
      </w:r>
      <w:r w:rsidRPr="008A5C70">
        <w:rPr>
          <w:rFonts w:ascii="Times New Roman" w:eastAsia="ＭＳ Ｐ明朝" w:hAnsi="Times New Roman"/>
          <w:lang w:val="de-DE" w:eastAsia="ja-JP"/>
        </w:rPr>
        <w:t>対格目的語を主語とする</w:t>
      </w:r>
      <w:r w:rsidR="00AE2DFC">
        <w:rPr>
          <w:rFonts w:ascii="Times New Roman" w:eastAsia="ＭＳ Ｐ明朝" w:hAnsi="Times New Roman" w:hint="eastAsia"/>
          <w:lang w:val="de-DE" w:eastAsia="ja-JP"/>
        </w:rPr>
        <w:t>の</w:t>
      </w:r>
      <w:r w:rsidRPr="008A5C70">
        <w:rPr>
          <w:rFonts w:ascii="Times New Roman" w:eastAsia="ＭＳ Ｐ明朝" w:hAnsi="Times New Roman"/>
          <w:lang w:val="de-DE" w:eastAsia="ja-JP"/>
        </w:rPr>
        <w:t>に対し、与格目的語を主語とするには「</w:t>
      </w:r>
      <w:r w:rsidRPr="008A5C70">
        <w:rPr>
          <w:rFonts w:ascii="Times New Roman" w:eastAsia="ＭＳ Ｐ明朝" w:hAnsi="Times New Roman"/>
          <w:lang w:val="de-DE" w:eastAsia="ja-JP"/>
        </w:rPr>
        <w:t>be</w:t>
      </w:r>
      <w:r w:rsidRPr="008A5C70">
        <w:rPr>
          <w:rFonts w:ascii="Times New Roman" w:eastAsia="ＭＳ Ｐ明朝" w:hAnsi="Times New Roman"/>
          <w:lang w:val="de-DE" w:eastAsia="ja-JP"/>
        </w:rPr>
        <w:softHyphen/>
        <w:t>kommen</w:t>
      </w:r>
      <w:r w:rsidR="003311C4">
        <w:rPr>
          <w:rFonts w:ascii="Times New Roman" w:eastAsia="ＭＳ Ｐ明朝" w:hAnsi="Times New Roman" w:hint="eastAsia"/>
          <w:lang w:val="de-DE" w:eastAsia="ja-JP"/>
        </w:rPr>
        <w:t>（</w:t>
      </w:r>
      <w:r w:rsidRPr="008A5C70">
        <w:rPr>
          <w:rFonts w:ascii="Times New Roman" w:eastAsia="ＭＳ Ｐ明朝" w:hAnsi="Times New Roman"/>
          <w:lang w:val="de-DE" w:eastAsia="ja-JP"/>
        </w:rPr>
        <w:t>本動詞としては「もらう」の意味</w:t>
      </w:r>
      <w:r w:rsidR="003311C4">
        <w:rPr>
          <w:rFonts w:ascii="Times New Roman" w:eastAsia="ＭＳ Ｐ明朝" w:hAnsi="Times New Roman" w:hint="eastAsia"/>
          <w:lang w:val="de-DE" w:eastAsia="ja-JP"/>
        </w:rPr>
        <w:t>）＋</w:t>
      </w:r>
      <w:r w:rsidRPr="008A5C70">
        <w:rPr>
          <w:rFonts w:ascii="Times New Roman" w:eastAsia="ＭＳ Ｐ明朝" w:hAnsi="Times New Roman"/>
          <w:lang w:val="de-DE" w:eastAsia="ja-JP"/>
        </w:rPr>
        <w:t>過去分詞」構文</w:t>
      </w:r>
      <w:r w:rsidR="00497726">
        <w:rPr>
          <w:rFonts w:ascii="Times New Roman" w:eastAsia="ＭＳ Ｐ明朝" w:hAnsi="Times New Roman" w:hint="eastAsia"/>
          <w:lang w:val="de-DE" w:eastAsia="ja-JP"/>
        </w:rPr>
        <w:t>を</w:t>
      </w:r>
      <w:r w:rsidR="00497726">
        <w:rPr>
          <w:rFonts w:ascii="Times New Roman" w:eastAsia="ＭＳ Ｐ明朝" w:hAnsi="Times New Roman"/>
          <w:lang w:val="de-DE" w:eastAsia="ja-JP"/>
        </w:rPr>
        <w:t>用い</w:t>
      </w:r>
      <w:r w:rsidRPr="008A5C70">
        <w:rPr>
          <w:rFonts w:ascii="Times New Roman" w:eastAsia="ＭＳ Ｐ明朝" w:hAnsi="Times New Roman"/>
          <w:lang w:val="de-DE" w:eastAsia="ja-JP"/>
        </w:rPr>
        <w:t>る。この構文は、</w:t>
      </w:r>
      <w:r>
        <w:rPr>
          <w:rFonts w:ascii="Times New Roman" w:eastAsia="ＭＳ Ｐ明朝" w:hAnsi="Times New Roman"/>
          <w:lang w:val="de-DE" w:eastAsia="ja-JP"/>
        </w:rPr>
        <w:t>伝統的には受動態と見なされてこなかったが、こうした認識の背後には</w:t>
      </w:r>
      <w:r w:rsidR="00AE2DFC">
        <w:rPr>
          <w:rFonts w:ascii="Times New Roman" w:eastAsia="ＭＳ Ｐ明朝" w:hAnsi="Times New Roman" w:hint="eastAsia"/>
          <w:lang w:val="de-DE" w:eastAsia="ja-JP"/>
        </w:rPr>
        <w:t>格の問題のほか</w:t>
      </w:r>
      <w:r w:rsidR="00497726">
        <w:rPr>
          <w:rFonts w:ascii="Times New Roman" w:eastAsia="ＭＳ Ｐ明朝" w:hAnsi="Times New Roman" w:hint="eastAsia"/>
          <w:lang w:val="de-DE" w:eastAsia="ja-JP"/>
        </w:rPr>
        <w:t>、</w:t>
      </w:r>
      <w:r>
        <w:rPr>
          <w:rFonts w:ascii="Times New Roman" w:eastAsia="ＭＳ Ｐ明朝" w:hAnsi="Times New Roman" w:hint="eastAsia"/>
          <w:lang w:val="de-DE" w:eastAsia="ja-JP"/>
        </w:rPr>
        <w:t>別の</w:t>
      </w:r>
      <w:r w:rsidRPr="008A5C70">
        <w:rPr>
          <w:rFonts w:ascii="Times New Roman" w:eastAsia="ＭＳ Ｐ明朝" w:hAnsi="Times New Roman"/>
          <w:lang w:val="de-DE" w:eastAsia="ja-JP"/>
        </w:rPr>
        <w:t>事情</w:t>
      </w:r>
      <w:r w:rsidR="00497726">
        <w:rPr>
          <w:rFonts w:ascii="Times New Roman" w:eastAsia="ＭＳ Ｐ明朝" w:hAnsi="Times New Roman" w:hint="eastAsia"/>
          <w:lang w:val="de-DE" w:eastAsia="ja-JP"/>
        </w:rPr>
        <w:t>も</w:t>
      </w:r>
      <w:r w:rsidR="00AE2DFC">
        <w:rPr>
          <w:rFonts w:ascii="Times New Roman" w:eastAsia="ＭＳ Ｐ明朝" w:hAnsi="Times New Roman" w:hint="eastAsia"/>
          <w:lang w:val="de-DE" w:eastAsia="ja-JP"/>
        </w:rPr>
        <w:t>潜んでいる</w:t>
      </w:r>
      <w:r w:rsidRPr="008A5C70">
        <w:rPr>
          <w:rFonts w:ascii="Times New Roman" w:eastAsia="ＭＳ Ｐ明朝" w:hAnsi="Times New Roman"/>
          <w:lang w:val="de-DE" w:eastAsia="ja-JP"/>
        </w:rPr>
        <w:t>。この構文は、「</w:t>
      </w:r>
      <w:r w:rsidR="003311C4">
        <w:rPr>
          <w:rFonts w:ascii="Times New Roman" w:eastAsia="ＭＳ Ｐ明朝" w:hAnsi="Times New Roman" w:hint="eastAsia"/>
          <w:lang w:val="de-DE" w:eastAsia="ja-JP"/>
        </w:rPr>
        <w:t>～</w:t>
      </w:r>
      <w:r w:rsidR="00497726">
        <w:rPr>
          <w:rFonts w:ascii="Times New Roman" w:eastAsia="ＭＳ Ｐ明朝" w:hAnsi="Times New Roman"/>
          <w:lang w:val="de-DE" w:eastAsia="ja-JP"/>
        </w:rPr>
        <w:t>してもらう」という受動的解釈に加え、条件次第で「</w:t>
      </w:r>
      <w:r w:rsidRPr="008A5C70">
        <w:rPr>
          <w:rFonts w:ascii="Times New Roman" w:eastAsia="ＭＳ Ｐ明朝" w:hAnsi="Times New Roman"/>
          <w:lang w:val="de-DE" w:eastAsia="ja-JP"/>
        </w:rPr>
        <w:t>成功する</w:t>
      </w:r>
      <w:r w:rsidR="00497726">
        <w:rPr>
          <w:rFonts w:ascii="Times New Roman" w:eastAsia="ＭＳ Ｐ明朝" w:hAnsi="Times New Roman" w:hint="eastAsia"/>
          <w:lang w:val="de-DE" w:eastAsia="ja-JP"/>
        </w:rPr>
        <w:t>、できる</w:t>
      </w:r>
      <w:r w:rsidRPr="008A5C70">
        <w:rPr>
          <w:rFonts w:ascii="Times New Roman" w:eastAsia="ＭＳ Ｐ明朝" w:hAnsi="Times New Roman"/>
          <w:lang w:val="de-DE" w:eastAsia="ja-JP"/>
        </w:rPr>
        <w:t>」という</w:t>
      </w:r>
      <w:r w:rsidR="00497726">
        <w:rPr>
          <w:rFonts w:ascii="Times New Roman" w:eastAsia="ＭＳ Ｐ明朝" w:hAnsi="Times New Roman" w:hint="eastAsia"/>
          <w:lang w:val="de-DE" w:eastAsia="ja-JP"/>
        </w:rPr>
        <w:t>法的</w:t>
      </w:r>
      <w:r w:rsidRPr="008A5C70">
        <w:rPr>
          <w:rFonts w:ascii="Times New Roman" w:eastAsia="ＭＳ Ｐ明朝" w:hAnsi="Times New Roman"/>
          <w:lang w:val="de-DE" w:eastAsia="ja-JP"/>
        </w:rPr>
        <w:t>解釈も許す。この後者の解釈は、主語が</w:t>
      </w:r>
      <w:r w:rsidR="004E0B80">
        <w:rPr>
          <w:rFonts w:ascii="Times New Roman" w:eastAsia="ＭＳ Ｐ明朝" w:hAnsi="Times New Roman" w:hint="eastAsia"/>
          <w:lang w:val="de-DE" w:eastAsia="ja-JP"/>
        </w:rPr>
        <w:t>単に</w:t>
      </w:r>
      <w:r w:rsidRPr="008A5C70">
        <w:rPr>
          <w:rFonts w:ascii="Times New Roman" w:eastAsia="ＭＳ Ｐ明朝" w:hAnsi="Times New Roman"/>
          <w:lang w:val="de-DE" w:eastAsia="ja-JP"/>
        </w:rPr>
        <w:t>動作主的</w:t>
      </w:r>
      <w:r w:rsidR="00AE2DFC">
        <w:rPr>
          <w:rFonts w:ascii="Times New Roman" w:eastAsia="ＭＳ Ｐ明朝" w:hAnsi="Times New Roman" w:hint="eastAsia"/>
          <w:lang w:val="de-DE" w:eastAsia="ja-JP"/>
        </w:rPr>
        <w:t>であるという</w:t>
      </w:r>
      <w:r w:rsidR="00497726">
        <w:rPr>
          <w:rFonts w:ascii="Times New Roman" w:eastAsia="ＭＳ Ｐ明朝" w:hAnsi="Times New Roman" w:hint="eastAsia"/>
          <w:lang w:val="de-DE" w:eastAsia="ja-JP"/>
        </w:rPr>
        <w:t>意味</w:t>
      </w:r>
      <w:r w:rsidRPr="008A5C70">
        <w:rPr>
          <w:rFonts w:ascii="Times New Roman" w:eastAsia="ＭＳ Ｐ明朝" w:hAnsi="Times New Roman"/>
          <w:lang w:val="de-DE" w:eastAsia="ja-JP"/>
        </w:rPr>
        <w:t>で他動性</w:t>
      </w:r>
      <w:r w:rsidR="00497726">
        <w:rPr>
          <w:rFonts w:ascii="Times New Roman" w:eastAsia="ＭＳ Ｐ明朝" w:hAnsi="Times New Roman" w:hint="eastAsia"/>
          <w:lang w:val="de-DE" w:eastAsia="ja-JP"/>
        </w:rPr>
        <w:t>が高い</w:t>
      </w:r>
      <w:r w:rsidR="00FD4AA7">
        <w:rPr>
          <w:rFonts w:ascii="Times New Roman" w:eastAsia="ＭＳ Ｐ明朝" w:hAnsi="Times New Roman" w:hint="eastAsia"/>
          <w:lang w:val="de-DE" w:eastAsia="ja-JP"/>
        </w:rPr>
        <w:t>だけでなく</w:t>
      </w:r>
      <w:r w:rsidRPr="008A5C70">
        <w:rPr>
          <w:rFonts w:ascii="Times New Roman" w:eastAsia="ＭＳ Ｐ明朝" w:hAnsi="Times New Roman"/>
          <w:lang w:val="de-DE" w:eastAsia="ja-JP"/>
        </w:rPr>
        <w:t>、</w:t>
      </w:r>
      <w:r w:rsidRPr="008A5C70">
        <w:rPr>
          <w:rFonts w:ascii="Times New Roman" w:eastAsia="ＭＳ Ｐ明朝" w:hAnsi="Times New Roman"/>
          <w:lang w:val="de-DE" w:eastAsia="ja-JP"/>
        </w:rPr>
        <w:t xml:space="preserve">1. </w:t>
      </w:r>
      <w:r w:rsidR="004E0B80">
        <w:rPr>
          <w:rFonts w:ascii="Times New Roman" w:eastAsia="ＭＳ Ｐ明朝" w:hAnsi="Times New Roman"/>
          <w:lang w:val="de-DE" w:eastAsia="ja-JP"/>
        </w:rPr>
        <w:t>で触れた非意図的使役との</w:t>
      </w:r>
      <w:r w:rsidR="00497726">
        <w:rPr>
          <w:rFonts w:ascii="Times New Roman" w:eastAsia="ＭＳ Ｐ明朝" w:hAnsi="Times New Roman" w:hint="eastAsia"/>
          <w:lang w:val="de-DE" w:eastAsia="ja-JP"/>
        </w:rPr>
        <w:t>対比</w:t>
      </w:r>
      <w:r w:rsidR="004E0B80">
        <w:rPr>
          <w:rFonts w:ascii="Times New Roman" w:eastAsia="ＭＳ Ｐ明朝" w:hAnsi="Times New Roman"/>
          <w:lang w:val="de-DE" w:eastAsia="ja-JP"/>
        </w:rPr>
        <w:t>で</w:t>
      </w:r>
      <w:r w:rsidR="00497726">
        <w:rPr>
          <w:rFonts w:ascii="Times New Roman" w:eastAsia="ＭＳ Ｐ明朝" w:hAnsi="Times New Roman" w:hint="eastAsia"/>
          <w:lang w:val="de-DE" w:eastAsia="ja-JP"/>
        </w:rPr>
        <w:t>言</w:t>
      </w:r>
      <w:r w:rsidR="002516CD">
        <w:rPr>
          <w:rFonts w:ascii="Times New Roman" w:eastAsia="ＭＳ Ｐ明朝" w:hAnsi="Times New Roman" w:hint="eastAsia"/>
          <w:lang w:val="de-DE" w:eastAsia="ja-JP"/>
        </w:rPr>
        <w:t>うと</w:t>
      </w:r>
      <w:r w:rsidRPr="008A5C70">
        <w:rPr>
          <w:rFonts w:ascii="Times New Roman" w:eastAsia="ＭＳ Ｐ明朝" w:hAnsi="Times New Roman"/>
          <w:lang w:val="de-DE" w:eastAsia="ja-JP"/>
        </w:rPr>
        <w:t>、所期の結果</w:t>
      </w:r>
      <w:r w:rsidR="00497726">
        <w:rPr>
          <w:rFonts w:ascii="Times New Roman" w:eastAsia="ＭＳ Ｐ明朝" w:hAnsi="Times New Roman" w:hint="eastAsia"/>
          <w:lang w:val="de-DE" w:eastAsia="ja-JP"/>
        </w:rPr>
        <w:t>の</w:t>
      </w:r>
      <w:r w:rsidR="004E0B80">
        <w:rPr>
          <w:rFonts w:ascii="Times New Roman" w:eastAsia="ＭＳ Ｐ明朝" w:hAnsi="Times New Roman" w:hint="eastAsia"/>
          <w:lang w:val="de-DE" w:eastAsia="ja-JP"/>
        </w:rPr>
        <w:t>達成</w:t>
      </w:r>
      <w:r w:rsidR="00497726">
        <w:rPr>
          <w:rFonts w:ascii="Times New Roman" w:eastAsia="ＭＳ Ｐ明朝" w:hAnsi="Times New Roman" w:hint="eastAsia"/>
          <w:lang w:val="de-DE" w:eastAsia="ja-JP"/>
        </w:rPr>
        <w:t>、つまり</w:t>
      </w:r>
      <w:r w:rsidRPr="008A5C70">
        <w:rPr>
          <w:rFonts w:ascii="Times New Roman" w:eastAsia="ＭＳ Ｐ明朝" w:hAnsi="Times New Roman"/>
          <w:lang w:val="de-DE" w:eastAsia="ja-JP"/>
        </w:rPr>
        <w:t>意図的使役で</w:t>
      </w:r>
      <w:r>
        <w:rPr>
          <w:rFonts w:ascii="Times New Roman" w:eastAsia="ＭＳ Ｐ明朝" w:hAnsi="Times New Roman" w:hint="eastAsia"/>
          <w:lang w:val="de-DE" w:eastAsia="ja-JP"/>
        </w:rPr>
        <w:t>も</w:t>
      </w:r>
      <w:r w:rsidRPr="008A5C70">
        <w:rPr>
          <w:rFonts w:ascii="Times New Roman" w:eastAsia="ＭＳ Ｐ明朝" w:hAnsi="Times New Roman"/>
          <w:lang w:val="de-DE" w:eastAsia="ja-JP"/>
        </w:rPr>
        <w:t>あ</w:t>
      </w:r>
      <w:r>
        <w:rPr>
          <w:rFonts w:ascii="Times New Roman" w:eastAsia="ＭＳ Ｐ明朝" w:hAnsi="Times New Roman" w:hint="eastAsia"/>
          <w:lang w:val="de-DE" w:eastAsia="ja-JP"/>
        </w:rPr>
        <w:t>る。</w:t>
      </w:r>
      <w:r>
        <w:rPr>
          <w:rFonts w:ascii="Times New Roman" w:eastAsia="ＭＳ Ｐ明朝" w:hAnsi="Times New Roman"/>
          <w:lang w:val="de-DE" w:eastAsia="ja-JP"/>
        </w:rPr>
        <w:t>しかも</w:t>
      </w:r>
      <w:r w:rsidR="00F233FF">
        <w:rPr>
          <w:rFonts w:ascii="Times New Roman" w:eastAsia="ＭＳ Ｐ明朝" w:hAnsi="Times New Roman" w:hint="eastAsia"/>
          <w:lang w:val="de-DE" w:eastAsia="ja-JP"/>
        </w:rPr>
        <w:t>この解釈は、</w:t>
      </w:r>
      <w:r w:rsidRPr="008A5C70">
        <w:rPr>
          <w:rFonts w:ascii="Times New Roman" w:eastAsia="ＭＳ Ｐ明朝" w:hAnsi="Times New Roman"/>
          <w:lang w:val="de-DE" w:eastAsia="ja-JP"/>
        </w:rPr>
        <w:t>基底動詞の再帰可能性によって</w:t>
      </w:r>
      <w:bookmarkStart w:id="0" w:name="_GoBack"/>
      <w:bookmarkEnd w:id="0"/>
      <w:r w:rsidR="00497726">
        <w:rPr>
          <w:rFonts w:ascii="Times New Roman" w:eastAsia="ＭＳ Ｐ明朝" w:hAnsi="Times New Roman" w:hint="eastAsia"/>
          <w:lang w:val="de-DE" w:eastAsia="ja-JP"/>
        </w:rPr>
        <w:t>も</w:t>
      </w:r>
      <w:r w:rsidRPr="008A5C70">
        <w:rPr>
          <w:rFonts w:ascii="Times New Roman" w:eastAsia="ＭＳ Ｐ明朝" w:hAnsi="Times New Roman"/>
          <w:lang w:val="de-DE" w:eastAsia="ja-JP"/>
        </w:rPr>
        <w:t>条件づけられ</w:t>
      </w:r>
      <w:r w:rsidR="00F233FF">
        <w:rPr>
          <w:rFonts w:ascii="Times New Roman" w:eastAsia="ＭＳ Ｐ明朝" w:hAnsi="Times New Roman" w:hint="eastAsia"/>
          <w:lang w:val="de-DE" w:eastAsia="ja-JP"/>
        </w:rPr>
        <w:t>ており</w:t>
      </w:r>
      <w:r w:rsidRPr="008A5C70">
        <w:rPr>
          <w:rFonts w:ascii="Times New Roman" w:eastAsia="ＭＳ Ｐ明朝" w:hAnsi="Times New Roman"/>
          <w:lang w:val="de-DE" w:eastAsia="ja-JP"/>
        </w:rPr>
        <w:t>、</w:t>
      </w:r>
      <w:r w:rsidR="00F233FF">
        <w:rPr>
          <w:rFonts w:ascii="Times New Roman" w:eastAsia="ＭＳ Ｐ明朝" w:hAnsi="Times New Roman" w:hint="eastAsia"/>
          <w:lang w:val="de-DE" w:eastAsia="ja-JP"/>
        </w:rPr>
        <w:t>この点でも</w:t>
      </w:r>
      <w:r w:rsidRPr="008A5C70">
        <w:rPr>
          <w:rFonts w:ascii="Times New Roman" w:eastAsia="ＭＳ Ｐ明朝" w:hAnsi="Times New Roman"/>
          <w:lang w:val="de-DE" w:eastAsia="ja-JP"/>
        </w:rPr>
        <w:t xml:space="preserve">1. </w:t>
      </w:r>
      <w:r w:rsidRPr="008A5C70">
        <w:rPr>
          <w:rFonts w:ascii="Times New Roman" w:eastAsia="ＭＳ Ｐ明朝" w:hAnsi="Times New Roman"/>
          <w:lang w:val="de-DE" w:eastAsia="ja-JP"/>
        </w:rPr>
        <w:t>と</w:t>
      </w:r>
      <w:r w:rsidR="00497726">
        <w:rPr>
          <w:rFonts w:ascii="Times New Roman" w:eastAsia="ＭＳ Ｐ明朝" w:hAnsi="Times New Roman" w:hint="eastAsia"/>
          <w:lang w:val="de-DE" w:eastAsia="ja-JP"/>
        </w:rPr>
        <w:t>比較</w:t>
      </w:r>
      <w:r w:rsidRPr="008A5C70">
        <w:rPr>
          <w:rFonts w:ascii="Times New Roman" w:eastAsia="ＭＳ Ｐ明朝" w:hAnsi="Times New Roman"/>
          <w:lang w:val="de-DE" w:eastAsia="ja-JP"/>
        </w:rPr>
        <w:t>可能である。</w:t>
      </w:r>
    </w:p>
    <w:p w:rsidR="00FF7AE7" w:rsidRPr="008A5C70" w:rsidRDefault="00FF7AE7">
      <w:pPr>
        <w:jc w:val="both"/>
        <w:rPr>
          <w:rFonts w:ascii="Times New Roman" w:eastAsia="ＭＳ Ｐ明朝" w:hAnsi="Times New Roman"/>
        </w:rPr>
      </w:pPr>
    </w:p>
    <w:p w:rsidR="00FF7AE7" w:rsidRPr="008A5C70" w:rsidRDefault="003921BC">
      <w:pPr>
        <w:jc w:val="both"/>
        <w:rPr>
          <w:rFonts w:ascii="Times New Roman" w:eastAsia="SimSun" w:hAnsi="Times New Roman"/>
        </w:rPr>
      </w:pPr>
      <w:r w:rsidRPr="008A5C70">
        <w:rPr>
          <w:rFonts w:ascii="Times New Roman" w:eastAsia="ＭＳ Ｐ明朝" w:hAnsi="Times New Roman"/>
        </w:rPr>
        <w:t>全体として、</w:t>
      </w:r>
      <w:r w:rsidR="00F233FF" w:rsidRPr="008A5C70">
        <w:rPr>
          <w:rFonts w:ascii="Times New Roman" w:eastAsia="ＭＳ Ｐ明朝" w:hAnsi="Times New Roman"/>
        </w:rPr>
        <w:t>ドイツ語においても、</w:t>
      </w:r>
      <w:r w:rsidRPr="008A5C70">
        <w:rPr>
          <w:rFonts w:ascii="Times New Roman" w:eastAsia="ＭＳ Ｐ明朝" w:hAnsi="Times New Roman"/>
        </w:rPr>
        <w:t>態の体系に見られる他動性は、動詞の語彙的性質としての対格支配を超えたところに認めることができる。その際、特筆すべき</w:t>
      </w:r>
      <w:r w:rsidR="00FD4AA7">
        <w:rPr>
          <w:rFonts w:ascii="Times New Roman" w:eastAsia="ＭＳ Ｐ明朝" w:hAnsi="Times New Roman" w:hint="eastAsia"/>
          <w:lang w:eastAsia="ja-JP"/>
        </w:rPr>
        <w:t>こととして</w:t>
      </w:r>
      <w:r w:rsidRPr="008A5C70">
        <w:rPr>
          <w:rFonts w:ascii="Times New Roman" w:eastAsia="ＭＳ Ｐ明朝" w:hAnsi="Times New Roman"/>
        </w:rPr>
        <w:t>、高い他動性には</w:t>
      </w:r>
      <w:r w:rsidR="00F233FF">
        <w:rPr>
          <w:rFonts w:ascii="Times New Roman" w:eastAsia="ＭＳ Ｐ明朝" w:hAnsi="Times New Roman" w:hint="eastAsia"/>
          <w:lang w:eastAsia="ja-JP"/>
        </w:rPr>
        <w:t>しばしば</w:t>
      </w:r>
      <w:r w:rsidRPr="008A5C70">
        <w:rPr>
          <w:rFonts w:ascii="Times New Roman" w:eastAsia="ＭＳ Ｐ明朝" w:hAnsi="Times New Roman"/>
        </w:rPr>
        <w:t>顕在的・潜在的</w:t>
      </w:r>
      <w:r w:rsidR="003311C4">
        <w:rPr>
          <w:rFonts w:ascii="Times New Roman" w:eastAsia="ＭＳ Ｐ明朝" w:hAnsi="Times New Roman" w:hint="eastAsia"/>
          <w:lang w:eastAsia="ja-JP"/>
        </w:rPr>
        <w:t>なかたちで</w:t>
      </w:r>
      <w:r w:rsidR="003311C4" w:rsidRPr="008A5C70">
        <w:rPr>
          <w:rFonts w:ascii="Times New Roman" w:eastAsia="ＭＳ Ｐ明朝" w:hAnsi="Times New Roman"/>
        </w:rPr>
        <w:t>与格が</w:t>
      </w:r>
      <w:r w:rsidRPr="008A5C70">
        <w:rPr>
          <w:rFonts w:ascii="Times New Roman" w:eastAsia="ＭＳ Ｐ明朝" w:hAnsi="Times New Roman"/>
        </w:rPr>
        <w:t>関与していること</w:t>
      </w:r>
      <w:r w:rsidR="00FD4AA7">
        <w:rPr>
          <w:rFonts w:ascii="Times New Roman" w:eastAsia="ＭＳ Ｐ明朝" w:hAnsi="Times New Roman" w:hint="eastAsia"/>
          <w:lang w:eastAsia="ja-JP"/>
        </w:rPr>
        <w:t>が指摘される</w:t>
      </w:r>
      <w:r w:rsidR="004E0B80">
        <w:rPr>
          <w:rFonts w:ascii="Times New Roman" w:eastAsia="ＭＳ Ｐ明朝" w:hAnsi="Times New Roman" w:hint="eastAsia"/>
          <w:lang w:eastAsia="ja-JP"/>
        </w:rPr>
        <w:t>のである</w:t>
      </w:r>
      <w:r w:rsidRPr="008A5C70">
        <w:rPr>
          <w:rFonts w:ascii="Times New Roman" w:eastAsia="ＭＳ Ｐ明朝" w:hAnsi="Times New Roman"/>
        </w:rPr>
        <w:t>。</w:t>
      </w:r>
    </w:p>
    <w:sectPr w:rsidR="00FF7AE7" w:rsidRPr="008A5C70" w:rsidSect="008A5C70">
      <w:pgSz w:w="11906" w:h="16838"/>
      <w:pgMar w:top="1134" w:right="1418" w:bottom="680" w:left="1418" w:header="0" w:footer="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DFC" w:rsidRDefault="00AE2DFC" w:rsidP="00AE2DFC">
      <w:r>
        <w:separator/>
      </w:r>
    </w:p>
  </w:endnote>
  <w:endnote w:type="continuationSeparator" w:id="0">
    <w:p w:rsidR="00AE2DFC" w:rsidRDefault="00AE2DFC" w:rsidP="00AE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VL Pゴシック">
    <w:altName w:val="ＭＳ 明朝"/>
    <w:panose1 w:val="00000000000000000000"/>
    <w:charset w:val="8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Liberation Mono">
    <w:altName w:val="Courier New"/>
    <w:panose1 w:val="02070409020205020404"/>
    <w:charset w:val="00"/>
    <w:family w:val="modern"/>
    <w:pitch w:val="fixed"/>
    <w:sig w:usb0="E0000AFF" w:usb1="400078FF" w:usb2="00000001" w:usb3="00000000" w:csb0="000001BF" w:csb1="00000000"/>
  </w:font>
  <w:font w:name="Nimbus Mono L">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DFC" w:rsidRDefault="00AE2DFC" w:rsidP="00AE2DFC">
      <w:r>
        <w:separator/>
      </w:r>
    </w:p>
  </w:footnote>
  <w:footnote w:type="continuationSeparator" w:id="0">
    <w:p w:rsidR="00AE2DFC" w:rsidRDefault="00AE2DFC" w:rsidP="00AE2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9"/>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F7AE7"/>
    <w:rsid w:val="002516CD"/>
    <w:rsid w:val="003311C4"/>
    <w:rsid w:val="003921BC"/>
    <w:rsid w:val="00497726"/>
    <w:rsid w:val="004E0B80"/>
    <w:rsid w:val="008A5C70"/>
    <w:rsid w:val="00AE2DFC"/>
    <w:rsid w:val="00C84533"/>
    <w:rsid w:val="00E27236"/>
    <w:rsid w:val="00F233FF"/>
    <w:rsid w:val="00FD4AA7"/>
    <w:rsid w:val="00FF7AE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F9AAAD9-7746-4472-BA7A-3BCBB3BE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VL Pゴシック" w:hAnsi="Liberation Serif" w:cs="VL Pゴシック"/>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整形済みテキスト"/>
    <w:basedOn w:val="a"/>
    <w:qFormat/>
    <w:rPr>
      <w:rFonts w:ascii="Liberation Mono" w:eastAsia="Nimbus Mono L" w:hAnsi="Liberation Mono" w:cs="Liberation Mono"/>
      <w:sz w:val="20"/>
      <w:szCs w:val="20"/>
    </w:rPr>
  </w:style>
  <w:style w:type="paragraph" w:styleId="a9">
    <w:name w:val="header"/>
    <w:basedOn w:val="a"/>
    <w:link w:val="aa"/>
    <w:uiPriority w:val="99"/>
    <w:unhideWhenUsed/>
    <w:rsid w:val="00AE2DFC"/>
    <w:pPr>
      <w:tabs>
        <w:tab w:val="center" w:pos="4252"/>
        <w:tab w:val="right" w:pos="8504"/>
      </w:tabs>
      <w:snapToGrid w:val="0"/>
    </w:pPr>
    <w:rPr>
      <w:rFonts w:cs="Mangal"/>
      <w:szCs w:val="21"/>
    </w:rPr>
  </w:style>
  <w:style w:type="character" w:customStyle="1" w:styleId="aa">
    <w:name w:val="ヘッダー (文字)"/>
    <w:basedOn w:val="a0"/>
    <w:link w:val="a9"/>
    <w:uiPriority w:val="99"/>
    <w:rsid w:val="00AE2DFC"/>
    <w:rPr>
      <w:rFonts w:cs="Mangal"/>
      <w:color w:val="00000A"/>
      <w:sz w:val="24"/>
      <w:szCs w:val="21"/>
    </w:rPr>
  </w:style>
  <w:style w:type="paragraph" w:styleId="ab">
    <w:name w:val="footer"/>
    <w:basedOn w:val="a"/>
    <w:link w:val="ac"/>
    <w:uiPriority w:val="99"/>
    <w:unhideWhenUsed/>
    <w:rsid w:val="00AE2DFC"/>
    <w:pPr>
      <w:tabs>
        <w:tab w:val="center" w:pos="4252"/>
        <w:tab w:val="right" w:pos="8504"/>
      </w:tabs>
      <w:snapToGrid w:val="0"/>
    </w:pPr>
    <w:rPr>
      <w:rFonts w:cs="Mangal"/>
      <w:szCs w:val="21"/>
    </w:rPr>
  </w:style>
  <w:style w:type="character" w:customStyle="1" w:styleId="ac">
    <w:name w:val="フッター (文字)"/>
    <w:basedOn w:val="a0"/>
    <w:link w:val="ab"/>
    <w:uiPriority w:val="99"/>
    <w:rsid w:val="00AE2DFC"/>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Fujinawa Yasuhiro</dc:creator>
  <dc:description/>
  <cp:lastModifiedBy>Yasuhiro Fujinawa</cp:lastModifiedBy>
  <cp:revision>16</cp:revision>
  <dcterms:created xsi:type="dcterms:W3CDTF">2016-07-06T08:34:00Z</dcterms:created>
  <dcterms:modified xsi:type="dcterms:W3CDTF">2016-07-08T13:58:00Z</dcterms:modified>
  <dc:language>ja-JP</dc:language>
</cp:coreProperties>
</file>