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829" w:rsidRPr="0082158B" w:rsidRDefault="0082158B">
      <w:pPr>
        <w:rPr>
          <w:rFonts w:ascii="Times New Roman" w:hAnsi="Times New Roman" w:cs="Times New Roman"/>
          <w:sz w:val="20"/>
          <w:szCs w:val="20"/>
          <w:lang w:val="fr-FR"/>
        </w:rPr>
      </w:pPr>
      <w:r w:rsidRPr="0082158B">
        <w:rPr>
          <w:rStyle w:val="10"/>
          <w:lang w:val="fr-FR"/>
        </w:rPr>
        <w:t xml:space="preserve">Les variétés non natives du français : focus sur la prononciation </w:t>
      </w:r>
      <w:r w:rsidRPr="0082158B">
        <w:rPr>
          <w:rStyle w:val="10"/>
          <w:lang w:val="fr-FR"/>
        </w:rPr>
        <w:br/>
        <w:t xml:space="preserve">Sylvain DETEY (Université </w:t>
      </w:r>
      <w:proofErr w:type="spellStart"/>
      <w:r w:rsidRPr="0082158B">
        <w:rPr>
          <w:rStyle w:val="10"/>
          <w:lang w:val="fr-FR"/>
        </w:rPr>
        <w:t>Waseda</w:t>
      </w:r>
      <w:proofErr w:type="spellEnd"/>
      <w:r w:rsidRPr="0082158B">
        <w:rPr>
          <w:rStyle w:val="10"/>
          <w:lang w:val="fr-FR"/>
        </w:rPr>
        <w:t xml:space="preserve">) </w:t>
      </w:r>
      <w:r w:rsidRPr="0082158B">
        <w:rPr>
          <w:rStyle w:val="10"/>
          <w:lang w:val="fr-FR"/>
        </w:rPr>
        <w:br/>
      </w:r>
      <w:r w:rsidRPr="0082158B">
        <w:rPr>
          <w:rFonts w:ascii="Times New Roman" w:hAnsi="Times New Roman" w:cs="Times New Roman"/>
          <w:sz w:val="20"/>
          <w:szCs w:val="20"/>
          <w:lang w:val="fr-FR"/>
        </w:rPr>
        <w:br/>
        <w:t xml:space="preserve">Dans cette intervention, nous offrirons une introduction aux variétés non natives du français en nous concentrons sur leur dimension phonétique et phonologique. Après une brève introduction relative à l’intérêt d’étudier les systèmes de production des locuteurs non natifs du français, ainsi qu’à l’apport des corpus oraux en la matière, la présentation sera structurée sous forme de présentation d’un ouvrage récemment paru sur le sujet, contenant non seulement des descriptions mais également des échantillons sonores de ces variétés. Notre conclusion s’orientera vers l’analyse de ces variétés à d’autres niveaux de description linguistique. </w:t>
      </w:r>
      <w:r w:rsidRPr="0082158B">
        <w:rPr>
          <w:rFonts w:ascii="Times New Roman" w:hAnsi="Times New Roman" w:cs="Times New Roman"/>
          <w:sz w:val="20"/>
          <w:szCs w:val="20"/>
          <w:lang w:val="fr-FR"/>
        </w:rPr>
        <w:br/>
      </w:r>
      <w:bookmarkStart w:id="0" w:name="_GoBack"/>
      <w:bookmarkEnd w:id="0"/>
      <w:r w:rsidRPr="0082158B">
        <w:rPr>
          <w:rFonts w:ascii="Times New Roman" w:hAnsi="Times New Roman" w:cs="Times New Roman"/>
          <w:sz w:val="20"/>
          <w:szCs w:val="20"/>
          <w:lang w:val="fr-FR"/>
        </w:rPr>
        <w:br/>
      </w:r>
      <w:r w:rsidRPr="0082158B">
        <w:rPr>
          <w:rStyle w:val="10"/>
          <w:lang w:val="fr-FR"/>
        </w:rPr>
        <w:t xml:space="preserve">Références </w:t>
      </w:r>
      <w:r w:rsidRPr="0082158B">
        <w:rPr>
          <w:rStyle w:val="10"/>
          <w:lang w:val="fr-FR"/>
        </w:rPr>
        <w:br/>
      </w:r>
      <w:proofErr w:type="spellStart"/>
      <w:r w:rsidRPr="0082158B">
        <w:rPr>
          <w:rFonts w:ascii="Times New Roman" w:hAnsi="Times New Roman" w:cs="Times New Roman"/>
          <w:sz w:val="20"/>
          <w:szCs w:val="20"/>
          <w:lang w:val="fr-FR"/>
        </w:rPr>
        <w:t>Avanzi</w:t>
      </w:r>
      <w:proofErr w:type="spellEnd"/>
      <w:r w:rsidRPr="0082158B">
        <w:rPr>
          <w:rFonts w:ascii="Times New Roman" w:hAnsi="Times New Roman" w:cs="Times New Roman"/>
          <w:sz w:val="20"/>
          <w:szCs w:val="20"/>
          <w:lang w:val="fr-FR"/>
        </w:rPr>
        <w:t xml:space="preserve">, M., </w:t>
      </w:r>
      <w:proofErr w:type="spellStart"/>
      <w:r w:rsidRPr="0082158B">
        <w:rPr>
          <w:rFonts w:ascii="Times New Roman" w:hAnsi="Times New Roman" w:cs="Times New Roman"/>
          <w:sz w:val="20"/>
          <w:szCs w:val="20"/>
          <w:lang w:val="fr-FR"/>
        </w:rPr>
        <w:t>Béguelin</w:t>
      </w:r>
      <w:proofErr w:type="spellEnd"/>
      <w:r w:rsidRPr="0082158B">
        <w:rPr>
          <w:rFonts w:ascii="Times New Roman" w:hAnsi="Times New Roman" w:cs="Times New Roman"/>
          <w:sz w:val="20"/>
          <w:szCs w:val="20"/>
          <w:lang w:val="fr-FR"/>
        </w:rPr>
        <w:t xml:space="preserve">, M.-J. &amp; </w:t>
      </w:r>
      <w:proofErr w:type="spellStart"/>
      <w:r w:rsidRPr="0082158B">
        <w:rPr>
          <w:rFonts w:ascii="Times New Roman" w:hAnsi="Times New Roman" w:cs="Times New Roman"/>
          <w:sz w:val="20"/>
          <w:szCs w:val="20"/>
          <w:lang w:val="fr-FR"/>
        </w:rPr>
        <w:t>Diémoz</w:t>
      </w:r>
      <w:proofErr w:type="spellEnd"/>
      <w:r w:rsidRPr="0082158B">
        <w:rPr>
          <w:rFonts w:ascii="Times New Roman" w:hAnsi="Times New Roman" w:cs="Times New Roman"/>
          <w:sz w:val="20"/>
          <w:szCs w:val="20"/>
          <w:lang w:val="fr-FR"/>
        </w:rPr>
        <w:t>, F., (</w:t>
      </w:r>
      <w:proofErr w:type="spellStart"/>
      <w:r w:rsidRPr="0082158B">
        <w:rPr>
          <w:rFonts w:ascii="Times New Roman" w:hAnsi="Times New Roman" w:cs="Times New Roman"/>
          <w:sz w:val="20"/>
          <w:szCs w:val="20"/>
          <w:lang w:val="fr-FR"/>
        </w:rPr>
        <w:t>Eds</w:t>
      </w:r>
      <w:proofErr w:type="spellEnd"/>
      <w:r w:rsidRPr="0082158B">
        <w:rPr>
          <w:rFonts w:ascii="Times New Roman" w:hAnsi="Times New Roman" w:cs="Times New Roman"/>
          <w:sz w:val="20"/>
          <w:szCs w:val="20"/>
          <w:lang w:val="fr-FR"/>
        </w:rPr>
        <w:t xml:space="preserve">) (2016), Corpus de français parlé et français parlé des corpus (Corpus 15). </w:t>
      </w:r>
      <w:r w:rsidRPr="0082158B">
        <w:rPr>
          <w:rFonts w:ascii="Times New Roman" w:hAnsi="Times New Roman" w:cs="Times New Roman"/>
          <w:sz w:val="20"/>
          <w:szCs w:val="20"/>
          <w:lang w:val="fr-FR"/>
        </w:rPr>
        <w:br/>
      </w:r>
      <w:proofErr w:type="spellStart"/>
      <w:r w:rsidRPr="0082158B">
        <w:rPr>
          <w:rFonts w:ascii="Times New Roman" w:hAnsi="Times New Roman" w:cs="Times New Roman"/>
          <w:sz w:val="20"/>
          <w:szCs w:val="20"/>
          <w:lang w:val="fr-FR"/>
        </w:rPr>
        <w:t>Bartning</w:t>
      </w:r>
      <w:proofErr w:type="spellEnd"/>
      <w:r w:rsidRPr="0082158B">
        <w:rPr>
          <w:rFonts w:ascii="Times New Roman" w:hAnsi="Times New Roman" w:cs="Times New Roman"/>
          <w:sz w:val="20"/>
          <w:szCs w:val="20"/>
          <w:lang w:val="fr-FR"/>
        </w:rPr>
        <w:t xml:space="preserve">, I. &amp; </w:t>
      </w:r>
      <w:proofErr w:type="spellStart"/>
      <w:r w:rsidRPr="0082158B">
        <w:rPr>
          <w:rFonts w:ascii="Times New Roman" w:hAnsi="Times New Roman" w:cs="Times New Roman"/>
          <w:sz w:val="20"/>
          <w:szCs w:val="20"/>
          <w:lang w:val="fr-FR"/>
        </w:rPr>
        <w:t>Schlyter</w:t>
      </w:r>
      <w:proofErr w:type="spellEnd"/>
      <w:r w:rsidRPr="0082158B">
        <w:rPr>
          <w:rFonts w:ascii="Times New Roman" w:hAnsi="Times New Roman" w:cs="Times New Roman"/>
          <w:sz w:val="20"/>
          <w:szCs w:val="20"/>
          <w:lang w:val="fr-FR"/>
        </w:rPr>
        <w:t xml:space="preserve">, S., (2004), Itinéraires </w:t>
      </w:r>
      <w:proofErr w:type="spellStart"/>
      <w:r w:rsidRPr="0082158B">
        <w:rPr>
          <w:rFonts w:ascii="Times New Roman" w:hAnsi="Times New Roman" w:cs="Times New Roman"/>
          <w:sz w:val="20"/>
          <w:szCs w:val="20"/>
          <w:lang w:val="fr-FR"/>
        </w:rPr>
        <w:t>acquisitionnels</w:t>
      </w:r>
      <w:proofErr w:type="spellEnd"/>
      <w:r w:rsidRPr="0082158B">
        <w:rPr>
          <w:rFonts w:ascii="Times New Roman" w:hAnsi="Times New Roman" w:cs="Times New Roman"/>
          <w:sz w:val="20"/>
          <w:szCs w:val="20"/>
          <w:lang w:val="fr-FR"/>
        </w:rPr>
        <w:t xml:space="preserve"> et stades de développement en français L2, Journal of French </w:t>
      </w:r>
      <w:proofErr w:type="spellStart"/>
      <w:r w:rsidRPr="0082158B">
        <w:rPr>
          <w:rFonts w:ascii="Times New Roman" w:hAnsi="Times New Roman" w:cs="Times New Roman"/>
          <w:sz w:val="20"/>
          <w:szCs w:val="20"/>
          <w:lang w:val="fr-FR"/>
        </w:rPr>
        <w:t>Language</w:t>
      </w:r>
      <w:proofErr w:type="spellEnd"/>
      <w:r w:rsidRPr="0082158B">
        <w:rPr>
          <w:rFonts w:ascii="Times New Roman" w:hAnsi="Times New Roman" w:cs="Times New Roman"/>
          <w:sz w:val="20"/>
          <w:szCs w:val="20"/>
          <w:lang w:val="fr-FR"/>
        </w:rPr>
        <w:t xml:space="preserve"> </w:t>
      </w:r>
      <w:proofErr w:type="spellStart"/>
      <w:r w:rsidRPr="0082158B">
        <w:rPr>
          <w:rFonts w:ascii="Times New Roman" w:hAnsi="Times New Roman" w:cs="Times New Roman"/>
          <w:sz w:val="20"/>
          <w:szCs w:val="20"/>
          <w:lang w:val="fr-FR"/>
        </w:rPr>
        <w:t>Studies</w:t>
      </w:r>
      <w:proofErr w:type="spellEnd"/>
      <w:r w:rsidRPr="0082158B">
        <w:rPr>
          <w:rFonts w:ascii="Times New Roman" w:hAnsi="Times New Roman" w:cs="Times New Roman"/>
          <w:sz w:val="20"/>
          <w:szCs w:val="20"/>
          <w:lang w:val="fr-FR"/>
        </w:rPr>
        <w:t xml:space="preserve"> 14(3) : 281-299. </w:t>
      </w:r>
      <w:r w:rsidRPr="0082158B">
        <w:rPr>
          <w:rFonts w:ascii="Times New Roman" w:hAnsi="Times New Roman" w:cs="Times New Roman"/>
          <w:sz w:val="20"/>
          <w:szCs w:val="20"/>
          <w:lang w:val="fr-FR"/>
        </w:rPr>
        <w:br/>
        <w:t xml:space="preserve">Corder, P., (1971), </w:t>
      </w:r>
      <w:proofErr w:type="spellStart"/>
      <w:r w:rsidRPr="0082158B">
        <w:rPr>
          <w:rFonts w:ascii="Times New Roman" w:hAnsi="Times New Roman" w:cs="Times New Roman"/>
          <w:sz w:val="20"/>
          <w:szCs w:val="20"/>
          <w:lang w:val="fr-FR"/>
        </w:rPr>
        <w:t>Idiosyncratic</w:t>
      </w:r>
      <w:proofErr w:type="spellEnd"/>
      <w:r w:rsidRPr="0082158B">
        <w:rPr>
          <w:rFonts w:ascii="Times New Roman" w:hAnsi="Times New Roman" w:cs="Times New Roman"/>
          <w:sz w:val="20"/>
          <w:szCs w:val="20"/>
          <w:lang w:val="fr-FR"/>
        </w:rPr>
        <w:t xml:space="preserve"> </w:t>
      </w:r>
      <w:proofErr w:type="spellStart"/>
      <w:r w:rsidRPr="0082158B">
        <w:rPr>
          <w:rFonts w:ascii="Times New Roman" w:hAnsi="Times New Roman" w:cs="Times New Roman"/>
          <w:sz w:val="20"/>
          <w:szCs w:val="20"/>
          <w:lang w:val="fr-FR"/>
        </w:rPr>
        <w:t>dialects</w:t>
      </w:r>
      <w:proofErr w:type="spellEnd"/>
      <w:r w:rsidRPr="0082158B">
        <w:rPr>
          <w:rFonts w:ascii="Times New Roman" w:hAnsi="Times New Roman" w:cs="Times New Roman"/>
          <w:sz w:val="20"/>
          <w:szCs w:val="20"/>
          <w:lang w:val="fr-FR"/>
        </w:rPr>
        <w:t xml:space="preserve"> and </w:t>
      </w:r>
      <w:proofErr w:type="spellStart"/>
      <w:r w:rsidRPr="0082158B">
        <w:rPr>
          <w:rFonts w:ascii="Times New Roman" w:hAnsi="Times New Roman" w:cs="Times New Roman"/>
          <w:sz w:val="20"/>
          <w:szCs w:val="20"/>
          <w:lang w:val="fr-FR"/>
        </w:rPr>
        <w:t>error</w:t>
      </w:r>
      <w:proofErr w:type="spellEnd"/>
      <w:r w:rsidRPr="0082158B">
        <w:rPr>
          <w:rFonts w:ascii="Times New Roman" w:hAnsi="Times New Roman" w:cs="Times New Roman"/>
          <w:sz w:val="20"/>
          <w:szCs w:val="20"/>
          <w:lang w:val="fr-FR"/>
        </w:rPr>
        <w:t xml:space="preserve"> </w:t>
      </w:r>
      <w:proofErr w:type="spellStart"/>
      <w:r w:rsidRPr="0082158B">
        <w:rPr>
          <w:rFonts w:ascii="Times New Roman" w:hAnsi="Times New Roman" w:cs="Times New Roman"/>
          <w:sz w:val="20"/>
          <w:szCs w:val="20"/>
          <w:lang w:val="fr-FR"/>
        </w:rPr>
        <w:t>analysis</w:t>
      </w:r>
      <w:proofErr w:type="spellEnd"/>
      <w:r w:rsidRPr="0082158B">
        <w:rPr>
          <w:rFonts w:ascii="Times New Roman" w:hAnsi="Times New Roman" w:cs="Times New Roman"/>
          <w:sz w:val="20"/>
          <w:szCs w:val="20"/>
          <w:lang w:val="fr-FR"/>
        </w:rPr>
        <w:t xml:space="preserve">, IRAL 9(2) : 147-160. </w:t>
      </w:r>
      <w:r w:rsidRPr="0082158B">
        <w:rPr>
          <w:rFonts w:ascii="Times New Roman" w:hAnsi="Times New Roman" w:cs="Times New Roman"/>
          <w:sz w:val="20"/>
          <w:szCs w:val="20"/>
          <w:lang w:val="fr-FR"/>
        </w:rPr>
        <w:br/>
      </w:r>
      <w:proofErr w:type="spellStart"/>
      <w:r w:rsidRPr="0082158B">
        <w:rPr>
          <w:rFonts w:ascii="Times New Roman" w:hAnsi="Times New Roman" w:cs="Times New Roman"/>
          <w:sz w:val="20"/>
          <w:szCs w:val="20"/>
          <w:lang w:val="fr-FR"/>
        </w:rPr>
        <w:t>Dervin</w:t>
      </w:r>
      <w:proofErr w:type="spellEnd"/>
      <w:r w:rsidRPr="0082158B">
        <w:rPr>
          <w:rFonts w:ascii="Times New Roman" w:hAnsi="Times New Roman" w:cs="Times New Roman"/>
          <w:sz w:val="20"/>
          <w:szCs w:val="20"/>
          <w:lang w:val="fr-FR"/>
        </w:rPr>
        <w:t xml:space="preserve">, F. &amp; </w:t>
      </w:r>
      <w:proofErr w:type="spellStart"/>
      <w:r w:rsidRPr="0082158B">
        <w:rPr>
          <w:rFonts w:ascii="Times New Roman" w:hAnsi="Times New Roman" w:cs="Times New Roman"/>
          <w:sz w:val="20"/>
          <w:szCs w:val="20"/>
          <w:lang w:val="fr-FR"/>
        </w:rPr>
        <w:t>Badrinathan</w:t>
      </w:r>
      <w:proofErr w:type="spellEnd"/>
      <w:r w:rsidRPr="0082158B">
        <w:rPr>
          <w:rFonts w:ascii="Times New Roman" w:hAnsi="Times New Roman" w:cs="Times New Roman"/>
          <w:sz w:val="20"/>
          <w:szCs w:val="20"/>
          <w:lang w:val="fr-FR"/>
        </w:rPr>
        <w:t>, V., (</w:t>
      </w:r>
      <w:proofErr w:type="spellStart"/>
      <w:r w:rsidRPr="0082158B">
        <w:rPr>
          <w:rFonts w:ascii="Times New Roman" w:hAnsi="Times New Roman" w:cs="Times New Roman"/>
          <w:sz w:val="20"/>
          <w:szCs w:val="20"/>
          <w:lang w:val="fr-FR"/>
        </w:rPr>
        <w:t>Eds</w:t>
      </w:r>
      <w:proofErr w:type="spellEnd"/>
      <w:r w:rsidRPr="0082158B">
        <w:rPr>
          <w:rFonts w:ascii="Times New Roman" w:hAnsi="Times New Roman" w:cs="Times New Roman"/>
          <w:sz w:val="20"/>
          <w:szCs w:val="20"/>
          <w:lang w:val="fr-FR"/>
        </w:rPr>
        <w:t xml:space="preserve">) (2011), L'enseignant non natif : identités et légitimité dans l'enseignement-apprentissage des langues étrangères, </w:t>
      </w:r>
      <w:proofErr w:type="spellStart"/>
      <w:r w:rsidRPr="0082158B">
        <w:rPr>
          <w:rFonts w:ascii="Times New Roman" w:hAnsi="Times New Roman" w:cs="Times New Roman"/>
          <w:sz w:val="20"/>
          <w:szCs w:val="20"/>
          <w:lang w:val="fr-FR"/>
        </w:rPr>
        <w:t>Fernelmont</w:t>
      </w:r>
      <w:proofErr w:type="spellEnd"/>
      <w:r w:rsidRPr="0082158B">
        <w:rPr>
          <w:rFonts w:ascii="Times New Roman" w:hAnsi="Times New Roman" w:cs="Times New Roman"/>
          <w:sz w:val="20"/>
          <w:szCs w:val="20"/>
          <w:lang w:val="fr-FR"/>
        </w:rPr>
        <w:t xml:space="preserve">, Proximités E.M.E. </w:t>
      </w:r>
      <w:r w:rsidRPr="0082158B">
        <w:rPr>
          <w:rFonts w:ascii="Times New Roman" w:hAnsi="Times New Roman" w:cs="Times New Roman"/>
          <w:sz w:val="20"/>
          <w:szCs w:val="20"/>
          <w:lang w:val="fr-FR"/>
        </w:rPr>
        <w:br/>
      </w:r>
      <w:proofErr w:type="spellStart"/>
      <w:r w:rsidRPr="0082158B">
        <w:rPr>
          <w:rFonts w:ascii="Times New Roman" w:hAnsi="Times New Roman" w:cs="Times New Roman"/>
          <w:sz w:val="20"/>
          <w:szCs w:val="20"/>
          <w:lang w:val="fr-FR"/>
        </w:rPr>
        <w:t>Detey</w:t>
      </w:r>
      <w:proofErr w:type="spellEnd"/>
      <w:r w:rsidRPr="0082158B">
        <w:rPr>
          <w:rFonts w:ascii="Times New Roman" w:hAnsi="Times New Roman" w:cs="Times New Roman"/>
          <w:sz w:val="20"/>
          <w:szCs w:val="20"/>
          <w:lang w:val="fr-FR"/>
        </w:rPr>
        <w:t xml:space="preserve">, S. et Racine, I. (2012), Les apprenants de français face aux normes de prononciation : quelle(s) entrée(s) pour quelle(s) sortie(s) ? Revue française de linguistique appliquée 17(1) : 81-96. </w:t>
      </w:r>
      <w:r w:rsidRPr="0082158B">
        <w:rPr>
          <w:rFonts w:ascii="Times New Roman" w:hAnsi="Times New Roman" w:cs="Times New Roman"/>
          <w:sz w:val="20"/>
          <w:szCs w:val="20"/>
          <w:lang w:val="fr-FR"/>
        </w:rPr>
        <w:br/>
      </w:r>
      <w:proofErr w:type="spellStart"/>
      <w:r w:rsidRPr="0082158B">
        <w:rPr>
          <w:rFonts w:ascii="Times New Roman" w:hAnsi="Times New Roman" w:cs="Times New Roman"/>
          <w:sz w:val="20"/>
          <w:szCs w:val="20"/>
          <w:lang w:val="fr-FR"/>
        </w:rPr>
        <w:t>Detey</w:t>
      </w:r>
      <w:proofErr w:type="spellEnd"/>
      <w:r w:rsidRPr="0082158B">
        <w:rPr>
          <w:rFonts w:ascii="Times New Roman" w:hAnsi="Times New Roman" w:cs="Times New Roman"/>
          <w:sz w:val="20"/>
          <w:szCs w:val="20"/>
          <w:lang w:val="fr-FR"/>
        </w:rPr>
        <w:t xml:space="preserve">, S., Racine, I., Kawaguchi, Y. &amp; </w:t>
      </w:r>
      <w:proofErr w:type="spellStart"/>
      <w:r w:rsidRPr="0082158B">
        <w:rPr>
          <w:rFonts w:ascii="Times New Roman" w:hAnsi="Times New Roman" w:cs="Times New Roman"/>
          <w:sz w:val="20"/>
          <w:szCs w:val="20"/>
          <w:lang w:val="fr-FR"/>
        </w:rPr>
        <w:t>Eychenne</w:t>
      </w:r>
      <w:proofErr w:type="spellEnd"/>
      <w:r w:rsidRPr="0082158B">
        <w:rPr>
          <w:rFonts w:ascii="Times New Roman" w:hAnsi="Times New Roman" w:cs="Times New Roman"/>
          <w:sz w:val="20"/>
          <w:szCs w:val="20"/>
          <w:lang w:val="fr-FR"/>
        </w:rPr>
        <w:t>, J., (</w:t>
      </w:r>
      <w:proofErr w:type="spellStart"/>
      <w:r w:rsidRPr="0082158B">
        <w:rPr>
          <w:rFonts w:ascii="Times New Roman" w:hAnsi="Times New Roman" w:cs="Times New Roman"/>
          <w:sz w:val="20"/>
          <w:szCs w:val="20"/>
          <w:lang w:val="fr-FR"/>
        </w:rPr>
        <w:t>Eds</w:t>
      </w:r>
      <w:proofErr w:type="spellEnd"/>
      <w:r w:rsidRPr="0082158B">
        <w:rPr>
          <w:rFonts w:ascii="Times New Roman" w:hAnsi="Times New Roman" w:cs="Times New Roman"/>
          <w:sz w:val="20"/>
          <w:szCs w:val="20"/>
          <w:lang w:val="fr-FR"/>
        </w:rPr>
        <w:t xml:space="preserve">) (2016), La prononciation du français dans le monde : du natif à l’apprenant, Paris, CLE international. </w:t>
      </w:r>
      <w:r w:rsidRPr="0082158B">
        <w:rPr>
          <w:rFonts w:ascii="Times New Roman" w:hAnsi="Times New Roman" w:cs="Times New Roman"/>
          <w:sz w:val="20"/>
          <w:szCs w:val="20"/>
          <w:lang w:val="fr-FR"/>
        </w:rPr>
        <w:br/>
      </w:r>
      <w:proofErr w:type="spellStart"/>
      <w:r w:rsidRPr="0082158B">
        <w:rPr>
          <w:rFonts w:ascii="Times New Roman" w:hAnsi="Times New Roman" w:cs="Times New Roman"/>
          <w:sz w:val="20"/>
          <w:szCs w:val="20"/>
        </w:rPr>
        <w:t>Detey</w:t>
      </w:r>
      <w:proofErr w:type="spellEnd"/>
      <w:r w:rsidRPr="0082158B">
        <w:rPr>
          <w:rFonts w:ascii="Times New Roman" w:hAnsi="Times New Roman" w:cs="Times New Roman"/>
          <w:sz w:val="20"/>
          <w:szCs w:val="20"/>
        </w:rPr>
        <w:t xml:space="preserve">, S., Racine, I., Kawaguchi, Y. &amp; </w:t>
      </w:r>
      <w:proofErr w:type="spellStart"/>
      <w:r w:rsidRPr="0082158B">
        <w:rPr>
          <w:rFonts w:ascii="Times New Roman" w:hAnsi="Times New Roman" w:cs="Times New Roman"/>
          <w:sz w:val="20"/>
          <w:szCs w:val="20"/>
        </w:rPr>
        <w:t>Zay</w:t>
      </w:r>
      <w:proofErr w:type="spellEnd"/>
      <w:r w:rsidRPr="0082158B">
        <w:rPr>
          <w:rFonts w:ascii="Times New Roman" w:hAnsi="Times New Roman" w:cs="Times New Roman"/>
          <w:sz w:val="20"/>
          <w:szCs w:val="20"/>
        </w:rPr>
        <w:t xml:space="preserve">, F. (2016). Variation among non-native speakers: the </w:t>
      </w:r>
      <w:proofErr w:type="spellStart"/>
      <w:r w:rsidRPr="0082158B">
        <w:rPr>
          <w:rFonts w:ascii="Times New Roman" w:hAnsi="Times New Roman" w:cs="Times New Roman"/>
          <w:sz w:val="20"/>
          <w:szCs w:val="20"/>
        </w:rPr>
        <w:t>InterPhonology</w:t>
      </w:r>
      <w:proofErr w:type="spellEnd"/>
      <w:r w:rsidRPr="0082158B">
        <w:rPr>
          <w:rFonts w:ascii="Times New Roman" w:hAnsi="Times New Roman" w:cs="Times New Roman"/>
          <w:sz w:val="20"/>
          <w:szCs w:val="20"/>
        </w:rPr>
        <w:t xml:space="preserve"> of Contemporary French. In </w:t>
      </w:r>
      <w:proofErr w:type="spellStart"/>
      <w:r w:rsidRPr="0082158B">
        <w:rPr>
          <w:rFonts w:ascii="Times New Roman" w:hAnsi="Times New Roman" w:cs="Times New Roman"/>
          <w:sz w:val="20"/>
          <w:szCs w:val="20"/>
        </w:rPr>
        <w:t>Detey</w:t>
      </w:r>
      <w:proofErr w:type="spellEnd"/>
      <w:r w:rsidRPr="0082158B">
        <w:rPr>
          <w:rFonts w:ascii="Times New Roman" w:hAnsi="Times New Roman" w:cs="Times New Roman"/>
          <w:sz w:val="20"/>
          <w:szCs w:val="20"/>
        </w:rPr>
        <w:t xml:space="preserve">, S., Durand, J., </w:t>
      </w:r>
      <w:proofErr w:type="spellStart"/>
      <w:r w:rsidRPr="0082158B">
        <w:rPr>
          <w:rFonts w:ascii="Times New Roman" w:hAnsi="Times New Roman" w:cs="Times New Roman"/>
          <w:sz w:val="20"/>
          <w:szCs w:val="20"/>
        </w:rPr>
        <w:t>Laks</w:t>
      </w:r>
      <w:proofErr w:type="spellEnd"/>
      <w:r w:rsidRPr="0082158B">
        <w:rPr>
          <w:rFonts w:ascii="Times New Roman" w:hAnsi="Times New Roman" w:cs="Times New Roman"/>
          <w:sz w:val="20"/>
          <w:szCs w:val="20"/>
        </w:rPr>
        <w:t xml:space="preserve">, B. &amp; </w:t>
      </w:r>
      <w:proofErr w:type="spellStart"/>
      <w:r w:rsidRPr="0082158B">
        <w:rPr>
          <w:rFonts w:ascii="Times New Roman" w:hAnsi="Times New Roman" w:cs="Times New Roman"/>
          <w:sz w:val="20"/>
          <w:szCs w:val="20"/>
        </w:rPr>
        <w:t>Lyche</w:t>
      </w:r>
      <w:proofErr w:type="spellEnd"/>
      <w:r w:rsidRPr="0082158B">
        <w:rPr>
          <w:rFonts w:ascii="Times New Roman" w:hAnsi="Times New Roman" w:cs="Times New Roman"/>
          <w:sz w:val="20"/>
          <w:szCs w:val="20"/>
        </w:rPr>
        <w:t>, C. (</w:t>
      </w:r>
      <w:proofErr w:type="spellStart"/>
      <w:r w:rsidRPr="0082158B">
        <w:rPr>
          <w:rFonts w:ascii="Times New Roman" w:hAnsi="Times New Roman" w:cs="Times New Roman"/>
          <w:sz w:val="20"/>
          <w:szCs w:val="20"/>
        </w:rPr>
        <w:t>Eds</w:t>
      </w:r>
      <w:proofErr w:type="spellEnd"/>
      <w:r w:rsidRPr="0082158B">
        <w:rPr>
          <w:rFonts w:ascii="Times New Roman" w:hAnsi="Times New Roman" w:cs="Times New Roman"/>
          <w:sz w:val="20"/>
          <w:szCs w:val="20"/>
        </w:rPr>
        <w:t xml:space="preserve">), Varieties of Spoken French. Oxford: Oxford University Press, 491-502. </w:t>
      </w:r>
      <w:r w:rsidRPr="0082158B">
        <w:rPr>
          <w:rFonts w:ascii="Times New Roman" w:hAnsi="Times New Roman" w:cs="Times New Roman"/>
          <w:sz w:val="20"/>
          <w:szCs w:val="20"/>
        </w:rPr>
        <w:br/>
        <w:t xml:space="preserve">Durand, J., Gut, U. &amp; </w:t>
      </w:r>
      <w:proofErr w:type="spellStart"/>
      <w:r w:rsidRPr="0082158B">
        <w:rPr>
          <w:rFonts w:ascii="Times New Roman" w:hAnsi="Times New Roman" w:cs="Times New Roman"/>
          <w:sz w:val="20"/>
          <w:szCs w:val="20"/>
        </w:rPr>
        <w:t>Kristoffersen</w:t>
      </w:r>
      <w:proofErr w:type="spellEnd"/>
      <w:r w:rsidRPr="0082158B">
        <w:rPr>
          <w:rFonts w:ascii="Times New Roman" w:hAnsi="Times New Roman" w:cs="Times New Roman"/>
          <w:sz w:val="20"/>
          <w:szCs w:val="20"/>
        </w:rPr>
        <w:t>, G., (</w:t>
      </w:r>
      <w:proofErr w:type="spellStart"/>
      <w:r w:rsidRPr="0082158B">
        <w:rPr>
          <w:rFonts w:ascii="Times New Roman" w:hAnsi="Times New Roman" w:cs="Times New Roman"/>
          <w:sz w:val="20"/>
          <w:szCs w:val="20"/>
        </w:rPr>
        <w:t>Eds</w:t>
      </w:r>
      <w:proofErr w:type="spellEnd"/>
      <w:r w:rsidRPr="0082158B">
        <w:rPr>
          <w:rFonts w:ascii="Times New Roman" w:hAnsi="Times New Roman" w:cs="Times New Roman"/>
          <w:sz w:val="20"/>
          <w:szCs w:val="20"/>
        </w:rPr>
        <w:t xml:space="preserve">) (2014), The Oxford Handbook of Corpus Phonology, </w:t>
      </w:r>
      <w:proofErr w:type="gramStart"/>
      <w:r w:rsidRPr="0082158B">
        <w:rPr>
          <w:rFonts w:ascii="Times New Roman" w:hAnsi="Times New Roman" w:cs="Times New Roman"/>
          <w:sz w:val="20"/>
          <w:szCs w:val="20"/>
        </w:rPr>
        <w:t>Oxford :</w:t>
      </w:r>
      <w:proofErr w:type="gramEnd"/>
      <w:r w:rsidRPr="0082158B">
        <w:rPr>
          <w:rFonts w:ascii="Times New Roman" w:hAnsi="Times New Roman" w:cs="Times New Roman"/>
          <w:sz w:val="20"/>
          <w:szCs w:val="20"/>
        </w:rPr>
        <w:t xml:space="preserve"> Oxford University Press. </w:t>
      </w:r>
      <w:r w:rsidRPr="0082158B">
        <w:rPr>
          <w:rFonts w:ascii="Times New Roman" w:hAnsi="Times New Roman" w:cs="Times New Roman"/>
          <w:sz w:val="20"/>
          <w:szCs w:val="20"/>
        </w:rPr>
        <w:br/>
        <w:t xml:space="preserve">Granger, S., </w:t>
      </w:r>
      <w:proofErr w:type="spellStart"/>
      <w:r w:rsidRPr="0082158B">
        <w:rPr>
          <w:rFonts w:ascii="Times New Roman" w:hAnsi="Times New Roman" w:cs="Times New Roman"/>
          <w:sz w:val="20"/>
          <w:szCs w:val="20"/>
        </w:rPr>
        <w:t>Gilquin</w:t>
      </w:r>
      <w:proofErr w:type="spellEnd"/>
      <w:r w:rsidRPr="0082158B">
        <w:rPr>
          <w:rFonts w:ascii="Times New Roman" w:hAnsi="Times New Roman" w:cs="Times New Roman"/>
          <w:sz w:val="20"/>
          <w:szCs w:val="20"/>
        </w:rPr>
        <w:t xml:space="preserve">, G. &amp; </w:t>
      </w:r>
      <w:proofErr w:type="spellStart"/>
      <w:r w:rsidRPr="0082158B">
        <w:rPr>
          <w:rFonts w:ascii="Times New Roman" w:hAnsi="Times New Roman" w:cs="Times New Roman"/>
          <w:sz w:val="20"/>
          <w:szCs w:val="20"/>
        </w:rPr>
        <w:t>Meunier</w:t>
      </w:r>
      <w:proofErr w:type="spellEnd"/>
      <w:r w:rsidRPr="0082158B">
        <w:rPr>
          <w:rFonts w:ascii="Times New Roman" w:hAnsi="Times New Roman" w:cs="Times New Roman"/>
          <w:sz w:val="20"/>
          <w:szCs w:val="20"/>
        </w:rPr>
        <w:t>, F. (</w:t>
      </w:r>
      <w:proofErr w:type="spellStart"/>
      <w:r w:rsidRPr="0082158B">
        <w:rPr>
          <w:rFonts w:ascii="Times New Roman" w:hAnsi="Times New Roman" w:cs="Times New Roman"/>
          <w:sz w:val="20"/>
          <w:szCs w:val="20"/>
        </w:rPr>
        <w:t>Eds</w:t>
      </w:r>
      <w:proofErr w:type="spellEnd"/>
      <w:r w:rsidRPr="0082158B">
        <w:rPr>
          <w:rFonts w:ascii="Times New Roman" w:hAnsi="Times New Roman" w:cs="Times New Roman"/>
          <w:sz w:val="20"/>
          <w:szCs w:val="20"/>
        </w:rPr>
        <w:t xml:space="preserve">) (2015), </w:t>
      </w:r>
      <w:proofErr w:type="gramStart"/>
      <w:r w:rsidRPr="0082158B">
        <w:rPr>
          <w:rFonts w:ascii="Times New Roman" w:hAnsi="Times New Roman" w:cs="Times New Roman"/>
          <w:sz w:val="20"/>
          <w:szCs w:val="20"/>
        </w:rPr>
        <w:t>The</w:t>
      </w:r>
      <w:proofErr w:type="gramEnd"/>
      <w:r w:rsidRPr="0082158B">
        <w:rPr>
          <w:rFonts w:ascii="Times New Roman" w:hAnsi="Times New Roman" w:cs="Times New Roman"/>
          <w:sz w:val="20"/>
          <w:szCs w:val="20"/>
        </w:rPr>
        <w:t xml:space="preserve"> Cambridge Handbook of Learner Corpus Research, Cambridge: Cambridge University Press. </w:t>
      </w:r>
      <w:r w:rsidRPr="0082158B">
        <w:rPr>
          <w:rFonts w:ascii="Times New Roman" w:hAnsi="Times New Roman" w:cs="Times New Roman"/>
          <w:sz w:val="20"/>
          <w:szCs w:val="20"/>
        </w:rPr>
        <w:br/>
        <w:t xml:space="preserve">Klein, W. &amp; Purdue, C. (1997), The Basic Variety (or: Couldn’t natural languages be </w:t>
      </w:r>
      <w:r w:rsidRPr="0082158B">
        <w:rPr>
          <w:rFonts w:ascii="Times New Roman" w:hAnsi="Times New Roman" w:cs="Times New Roman"/>
          <w:sz w:val="20"/>
          <w:szCs w:val="20"/>
        </w:rPr>
        <w:lastRenderedPageBreak/>
        <w:t xml:space="preserve">much simpler?), Second Language Research </w:t>
      </w:r>
      <w:proofErr w:type="gramStart"/>
      <w:r w:rsidRPr="0082158B">
        <w:rPr>
          <w:rFonts w:ascii="Times New Roman" w:hAnsi="Times New Roman" w:cs="Times New Roman"/>
          <w:sz w:val="20"/>
          <w:szCs w:val="20"/>
        </w:rPr>
        <w:t>13 :</w:t>
      </w:r>
      <w:proofErr w:type="gramEnd"/>
      <w:r w:rsidRPr="0082158B">
        <w:rPr>
          <w:rFonts w:ascii="Times New Roman" w:hAnsi="Times New Roman" w:cs="Times New Roman"/>
          <w:sz w:val="20"/>
          <w:szCs w:val="20"/>
        </w:rPr>
        <w:t xml:space="preserve"> 301-347. </w:t>
      </w:r>
      <w:r w:rsidRPr="0082158B">
        <w:rPr>
          <w:rFonts w:ascii="Times New Roman" w:hAnsi="Times New Roman" w:cs="Times New Roman"/>
          <w:sz w:val="20"/>
          <w:szCs w:val="20"/>
        </w:rPr>
        <w:br/>
      </w:r>
      <w:proofErr w:type="spellStart"/>
      <w:r w:rsidRPr="0082158B">
        <w:rPr>
          <w:rFonts w:ascii="Times New Roman" w:hAnsi="Times New Roman" w:cs="Times New Roman"/>
          <w:sz w:val="20"/>
          <w:szCs w:val="20"/>
          <w:lang w:val="fr-FR"/>
        </w:rPr>
        <w:t>Nespoulous</w:t>
      </w:r>
      <w:proofErr w:type="spellEnd"/>
      <w:r w:rsidRPr="0082158B">
        <w:rPr>
          <w:rFonts w:ascii="Times New Roman" w:hAnsi="Times New Roman" w:cs="Times New Roman"/>
          <w:sz w:val="20"/>
          <w:szCs w:val="20"/>
          <w:lang w:val="fr-FR"/>
        </w:rPr>
        <w:t xml:space="preserve">, J.-L. &amp; </w:t>
      </w:r>
      <w:proofErr w:type="spellStart"/>
      <w:r w:rsidRPr="0082158B">
        <w:rPr>
          <w:rFonts w:ascii="Times New Roman" w:hAnsi="Times New Roman" w:cs="Times New Roman"/>
          <w:sz w:val="20"/>
          <w:szCs w:val="20"/>
          <w:lang w:val="fr-FR"/>
        </w:rPr>
        <w:t>Virbel</w:t>
      </w:r>
      <w:proofErr w:type="spellEnd"/>
      <w:r w:rsidRPr="0082158B">
        <w:rPr>
          <w:rFonts w:ascii="Times New Roman" w:hAnsi="Times New Roman" w:cs="Times New Roman"/>
          <w:sz w:val="20"/>
          <w:szCs w:val="20"/>
          <w:lang w:val="fr-FR"/>
        </w:rPr>
        <w:t>, J. (</w:t>
      </w:r>
      <w:proofErr w:type="spellStart"/>
      <w:r w:rsidRPr="0082158B">
        <w:rPr>
          <w:rFonts w:ascii="Times New Roman" w:hAnsi="Times New Roman" w:cs="Times New Roman"/>
          <w:sz w:val="20"/>
          <w:szCs w:val="20"/>
          <w:lang w:val="fr-FR"/>
        </w:rPr>
        <w:t>Eds</w:t>
      </w:r>
      <w:proofErr w:type="spellEnd"/>
      <w:r w:rsidRPr="0082158B">
        <w:rPr>
          <w:rFonts w:ascii="Times New Roman" w:hAnsi="Times New Roman" w:cs="Times New Roman"/>
          <w:sz w:val="20"/>
          <w:szCs w:val="20"/>
          <w:lang w:val="fr-FR"/>
        </w:rPr>
        <w:t xml:space="preserve">) (2004), Handicap langagier et recherches cognitives : apports mutuels (Revue </w:t>
      </w:r>
      <w:proofErr w:type="spellStart"/>
      <w:r w:rsidRPr="0082158B">
        <w:rPr>
          <w:rFonts w:ascii="Times New Roman" w:hAnsi="Times New Roman" w:cs="Times New Roman"/>
          <w:sz w:val="20"/>
          <w:szCs w:val="20"/>
          <w:lang w:val="fr-FR"/>
        </w:rPr>
        <w:t>PArole</w:t>
      </w:r>
      <w:proofErr w:type="spellEnd"/>
      <w:r w:rsidRPr="0082158B">
        <w:rPr>
          <w:rFonts w:ascii="Times New Roman" w:hAnsi="Times New Roman" w:cs="Times New Roman"/>
          <w:sz w:val="20"/>
          <w:szCs w:val="20"/>
          <w:lang w:val="fr-FR"/>
        </w:rPr>
        <w:t xml:space="preserve"> 31-32). </w:t>
      </w:r>
      <w:r w:rsidRPr="0082158B">
        <w:rPr>
          <w:rFonts w:ascii="Times New Roman" w:hAnsi="Times New Roman" w:cs="Times New Roman"/>
          <w:sz w:val="20"/>
          <w:szCs w:val="20"/>
          <w:lang w:val="fr-FR"/>
        </w:rPr>
        <w:br/>
        <w:t xml:space="preserve">Perdue, C. (1993), Comment rendre compte de la logique de l’acquisition d’une langue étrangère par l’adulte ? Etudes de linguistique appliquée 92 : 8-22. </w:t>
      </w:r>
      <w:r w:rsidRPr="0082158B">
        <w:rPr>
          <w:rFonts w:ascii="Times New Roman" w:hAnsi="Times New Roman" w:cs="Times New Roman"/>
          <w:sz w:val="20"/>
          <w:szCs w:val="20"/>
          <w:lang w:val="fr-FR"/>
        </w:rPr>
        <w:br/>
      </w:r>
      <w:proofErr w:type="spellStart"/>
      <w:r w:rsidRPr="0082158B">
        <w:rPr>
          <w:rFonts w:ascii="Times New Roman" w:hAnsi="Times New Roman" w:cs="Times New Roman"/>
          <w:sz w:val="20"/>
          <w:szCs w:val="20"/>
          <w:lang w:val="fr-FR"/>
        </w:rPr>
        <w:t>Selinker</w:t>
      </w:r>
      <w:proofErr w:type="spellEnd"/>
      <w:r w:rsidRPr="0082158B">
        <w:rPr>
          <w:rFonts w:ascii="Times New Roman" w:hAnsi="Times New Roman" w:cs="Times New Roman"/>
          <w:sz w:val="20"/>
          <w:szCs w:val="20"/>
          <w:lang w:val="fr-FR"/>
        </w:rPr>
        <w:t xml:space="preserve">, L., (1972), </w:t>
      </w:r>
      <w:proofErr w:type="spellStart"/>
      <w:r w:rsidRPr="0082158B">
        <w:rPr>
          <w:rFonts w:ascii="Times New Roman" w:hAnsi="Times New Roman" w:cs="Times New Roman"/>
          <w:sz w:val="20"/>
          <w:szCs w:val="20"/>
          <w:lang w:val="fr-FR"/>
        </w:rPr>
        <w:t>Interlanguage</w:t>
      </w:r>
      <w:proofErr w:type="spellEnd"/>
      <w:r w:rsidRPr="0082158B">
        <w:rPr>
          <w:rFonts w:ascii="Times New Roman" w:hAnsi="Times New Roman" w:cs="Times New Roman"/>
          <w:sz w:val="20"/>
          <w:szCs w:val="20"/>
          <w:lang w:val="fr-FR"/>
        </w:rPr>
        <w:t xml:space="preserve">, IRAL 10(3) : 209-231. </w:t>
      </w:r>
      <w:r w:rsidRPr="0082158B">
        <w:rPr>
          <w:rFonts w:ascii="Times New Roman" w:hAnsi="Times New Roman" w:cs="Times New Roman"/>
          <w:sz w:val="20"/>
          <w:szCs w:val="20"/>
          <w:lang w:val="fr-FR"/>
        </w:rPr>
        <w:br/>
        <w:t>Vogel, K., (1995), L’</w:t>
      </w:r>
      <w:proofErr w:type="spellStart"/>
      <w:r w:rsidRPr="0082158B">
        <w:rPr>
          <w:rFonts w:ascii="Times New Roman" w:hAnsi="Times New Roman" w:cs="Times New Roman"/>
          <w:sz w:val="20"/>
          <w:szCs w:val="20"/>
          <w:lang w:val="fr-FR"/>
        </w:rPr>
        <w:t>interlangue</w:t>
      </w:r>
      <w:proofErr w:type="spellEnd"/>
      <w:r w:rsidRPr="0082158B">
        <w:rPr>
          <w:rFonts w:ascii="Times New Roman" w:hAnsi="Times New Roman" w:cs="Times New Roman"/>
          <w:sz w:val="20"/>
          <w:szCs w:val="20"/>
          <w:lang w:val="fr-FR"/>
        </w:rPr>
        <w:t xml:space="preserve"> : la langue de l’apprenant, Toulouse, Presses Universitaires du Mirail.</w:t>
      </w:r>
    </w:p>
    <w:sectPr w:rsidR="00340829" w:rsidRPr="0082158B" w:rsidSect="0082158B">
      <w:pgSz w:w="11905" w:h="16837" w:code="9"/>
      <w:pgMar w:top="1985" w:right="1701" w:bottom="1701" w:left="1701" w:header="720" w:footer="720" w:gutter="0"/>
      <w:cols w:space="425"/>
      <w:noEndnote/>
      <w:docGrid w:type="linesAndChars" w:linePitch="372" w:charSpace="80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9"/>
  <w:drawingGridVerticalSpacing w:val="18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31"/>
    <w:rsid w:val="00060D31"/>
    <w:rsid w:val="00340829"/>
    <w:rsid w:val="00601A5E"/>
    <w:rsid w:val="0082158B"/>
    <w:rsid w:val="00A3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DC54B5-1FF5-4C18-A260-BF98F2C8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215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158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2017-06-23T07:51:00Z</dcterms:created>
  <dcterms:modified xsi:type="dcterms:W3CDTF">2017-06-23T07:52:00Z</dcterms:modified>
</cp:coreProperties>
</file>